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59590" w14:textId="77777777" w:rsidR="00570C97" w:rsidRPr="00252EF2" w:rsidRDefault="00252EF2">
      <w:pPr>
        <w:rPr>
          <w:rFonts w:ascii="Arial" w:hAnsi="Arial" w:cs="Arial"/>
          <w:sz w:val="32"/>
          <w:szCs w:val="36"/>
        </w:rPr>
      </w:pPr>
      <w:bookmarkStart w:id="0" w:name="_GoBack"/>
      <w:bookmarkEnd w:id="0"/>
      <w:r w:rsidRPr="00252EF2">
        <w:rPr>
          <w:rFonts w:ascii="Arial" w:hAnsi="Arial" w:cs="Arial"/>
          <w:sz w:val="32"/>
          <w:szCs w:val="36"/>
        </w:rPr>
        <w:t xml:space="preserve">A Research Use Only Content Guide for ALK, ROS1, RET, NTRK1, HER2 and cMET Data Generated from the </w:t>
      </w:r>
      <w:r w:rsidR="000A5B63">
        <w:rPr>
          <w:rFonts w:ascii="Arial" w:hAnsi="Arial" w:cs="Arial"/>
          <w:sz w:val="32"/>
          <w:szCs w:val="36"/>
        </w:rPr>
        <w:br/>
      </w:r>
      <w:r w:rsidRPr="00252EF2">
        <w:rPr>
          <w:rFonts w:ascii="Arial" w:hAnsi="Arial" w:cs="Arial"/>
          <w:sz w:val="32"/>
          <w:szCs w:val="36"/>
        </w:rPr>
        <w:t>HTG EdgeSeq ALK</w:t>
      </w:r>
      <w:r w:rsidRPr="00252EF2">
        <w:rPr>
          <w:rFonts w:ascii="Arial" w:hAnsi="Arial" w:cs="Arial"/>
          <w:i/>
          <w:sz w:val="32"/>
          <w:szCs w:val="36"/>
        </w:rPr>
        <w:t>Plus</w:t>
      </w:r>
      <w:r w:rsidRPr="00252EF2">
        <w:rPr>
          <w:rFonts w:ascii="Arial" w:hAnsi="Arial" w:cs="Arial"/>
          <w:sz w:val="32"/>
          <w:szCs w:val="36"/>
        </w:rPr>
        <w:t xml:space="preserve"> Assay EU</w:t>
      </w:r>
    </w:p>
    <w:p w14:paraId="6E279AEA" w14:textId="77777777" w:rsidR="00885340" w:rsidRPr="00885340" w:rsidRDefault="00885340">
      <w:pPr>
        <w:rPr>
          <w:rFonts w:ascii="Arial" w:hAnsi="Arial" w:cs="Arial"/>
          <w:sz w:val="12"/>
          <w:szCs w:val="12"/>
        </w:rPr>
        <w:sectPr w:rsidR="00885340" w:rsidRPr="00885340" w:rsidSect="002E1462">
          <w:headerReference w:type="default" r:id="rId7"/>
          <w:footerReference w:type="even" r:id="rId8"/>
          <w:footerReference w:type="default" r:id="rId9"/>
          <w:pgSz w:w="12240" w:h="15840"/>
          <w:pgMar w:top="1440" w:right="1440" w:bottom="1440" w:left="1440" w:header="720" w:footer="720" w:gutter="0"/>
          <w:pgNumType w:start="1"/>
          <w:cols w:space="720"/>
          <w:docGrid w:linePitch="360"/>
        </w:sectPr>
      </w:pPr>
    </w:p>
    <w:p w14:paraId="006EE88A" w14:textId="77777777" w:rsidR="00885340" w:rsidRPr="00885340" w:rsidRDefault="00885340" w:rsidP="00252EF2">
      <w:pPr>
        <w:spacing w:before="68"/>
        <w:ind w:right="202"/>
        <w:outlineLvl w:val="0"/>
        <w:rPr>
          <w:rFonts w:ascii="Arial" w:hAnsi="Arial" w:cs="Arial"/>
          <w:b/>
          <w:sz w:val="12"/>
          <w:szCs w:val="12"/>
        </w:rPr>
      </w:pPr>
    </w:p>
    <w:p w14:paraId="39DBAE68" w14:textId="77777777" w:rsidR="00252EF2" w:rsidRPr="00E9375F" w:rsidRDefault="00252EF2" w:rsidP="00252EF2">
      <w:pPr>
        <w:spacing w:before="68"/>
        <w:ind w:right="202"/>
        <w:outlineLvl w:val="0"/>
        <w:rPr>
          <w:rFonts w:ascii="Arial" w:eastAsia="Trebuchet MS" w:hAnsi="Arial" w:cs="Arial"/>
        </w:rPr>
      </w:pPr>
      <w:r w:rsidRPr="00E9375F">
        <w:rPr>
          <w:rFonts w:ascii="Arial" w:hAnsi="Arial" w:cs="Arial"/>
          <w:b/>
        </w:rPr>
        <w:t>Introduction</w:t>
      </w:r>
    </w:p>
    <w:p w14:paraId="3BBE8F12" w14:textId="77777777" w:rsidR="00252EF2" w:rsidRPr="00252EF2" w:rsidRDefault="003146B2" w:rsidP="00252EF2">
      <w:pPr>
        <w:spacing w:before="1"/>
        <w:rPr>
          <w:rFonts w:ascii="Arial" w:hAnsi="Arial" w:cs="Arial"/>
          <w:color w:val="000000"/>
          <w:sz w:val="18"/>
          <w:szCs w:val="19"/>
        </w:rPr>
      </w:pPr>
      <w:r w:rsidRPr="00252EF2">
        <w:rPr>
          <w:rFonts w:ascii="Arial" w:hAnsi="Arial" w:cs="Arial"/>
          <w:color w:val="000000"/>
          <w:sz w:val="18"/>
          <w:szCs w:val="19"/>
        </w:rPr>
        <w:t>Using a single slide, the HTG EdgeSeq ALK</w:t>
      </w:r>
      <w:r w:rsidRPr="00252EF2">
        <w:rPr>
          <w:rFonts w:ascii="Arial" w:hAnsi="Arial" w:cs="Arial"/>
          <w:i/>
          <w:iCs/>
          <w:color w:val="000000"/>
          <w:sz w:val="18"/>
          <w:szCs w:val="19"/>
        </w:rPr>
        <w:t xml:space="preserve">Plus </w:t>
      </w:r>
      <w:r w:rsidRPr="00252EF2">
        <w:rPr>
          <w:rFonts w:ascii="Arial" w:hAnsi="Arial" w:cs="Arial"/>
          <w:color w:val="000000"/>
          <w:sz w:val="18"/>
          <w:szCs w:val="19"/>
        </w:rPr>
        <w:t xml:space="preserve">Assay EU </w:t>
      </w:r>
      <w:r w:rsidR="00921C94">
        <w:rPr>
          <w:rFonts w:ascii="Arial" w:hAnsi="Arial" w:cs="Arial"/>
          <w:color w:val="000000"/>
          <w:sz w:val="18"/>
          <w:szCs w:val="19"/>
        </w:rPr>
        <w:t xml:space="preserve">(“Assay”) </w:t>
      </w:r>
      <w:r w:rsidRPr="00252EF2">
        <w:rPr>
          <w:rFonts w:ascii="Arial" w:hAnsi="Arial" w:cs="Arial"/>
          <w:color w:val="000000"/>
          <w:sz w:val="18"/>
          <w:szCs w:val="19"/>
        </w:rPr>
        <w:t xml:space="preserve">consolidates complex molecular testing into a single platform and provides additional research data on potential therapeutic targets.  </w:t>
      </w:r>
      <w:r w:rsidR="00252EF2" w:rsidRPr="00252EF2">
        <w:rPr>
          <w:rFonts w:ascii="Arial" w:hAnsi="Arial" w:cs="Arial"/>
          <w:color w:val="000000"/>
          <w:sz w:val="18"/>
          <w:szCs w:val="19"/>
        </w:rPr>
        <w:t>The HTG EdgeSeq ALK</w:t>
      </w:r>
      <w:r w:rsidR="00252EF2" w:rsidRPr="00252EF2">
        <w:rPr>
          <w:rFonts w:ascii="Arial" w:hAnsi="Arial" w:cs="Arial"/>
          <w:i/>
          <w:iCs/>
          <w:color w:val="000000"/>
          <w:sz w:val="18"/>
          <w:szCs w:val="19"/>
        </w:rPr>
        <w:t xml:space="preserve">Plus </w:t>
      </w:r>
      <w:r w:rsidR="00252EF2" w:rsidRPr="00252EF2">
        <w:rPr>
          <w:rFonts w:ascii="Arial" w:hAnsi="Arial" w:cs="Arial"/>
          <w:color w:val="000000"/>
          <w:sz w:val="18"/>
          <w:szCs w:val="19"/>
        </w:rPr>
        <w:t xml:space="preserve">Assay EU is an </w:t>
      </w:r>
      <w:r w:rsidR="00252EF2" w:rsidRPr="00252EF2">
        <w:rPr>
          <w:rFonts w:ascii="Arial" w:hAnsi="Arial" w:cs="Arial"/>
          <w:i/>
          <w:iCs/>
          <w:color w:val="000000"/>
          <w:sz w:val="18"/>
          <w:szCs w:val="19"/>
        </w:rPr>
        <w:t xml:space="preserve">in vitro </w:t>
      </w:r>
      <w:r w:rsidR="00252EF2" w:rsidRPr="00252EF2">
        <w:rPr>
          <w:rFonts w:ascii="Arial" w:hAnsi="Arial" w:cs="Arial"/>
          <w:color w:val="000000"/>
          <w:sz w:val="18"/>
          <w:szCs w:val="19"/>
        </w:rPr>
        <w:t xml:space="preserve">diagnostic (IVD), next-generation sequencing (NGS)-based assay intended to measure and analyze mRNA ALK gene fusion events in formalin-fixed, paraffin-embedded (FFPE) lung tumor specimens from patients previously diagnosed with non-small cell lung cancer (NSCLC).  </w:t>
      </w:r>
      <w:r w:rsidR="007E312A">
        <w:rPr>
          <w:rFonts w:ascii="Arial" w:hAnsi="Arial" w:cs="Arial"/>
          <w:color w:val="000000"/>
          <w:sz w:val="18"/>
          <w:szCs w:val="19"/>
        </w:rPr>
        <w:t>In addition</w:t>
      </w:r>
      <w:r w:rsidR="00A653F6">
        <w:rPr>
          <w:rFonts w:ascii="Arial" w:hAnsi="Arial" w:cs="Arial"/>
          <w:color w:val="000000"/>
          <w:sz w:val="18"/>
          <w:szCs w:val="19"/>
        </w:rPr>
        <w:t xml:space="preserve">, </w:t>
      </w:r>
      <w:r w:rsidR="00252EF2" w:rsidRPr="00252EF2">
        <w:rPr>
          <w:rFonts w:ascii="Arial" w:hAnsi="Arial" w:cs="Arial"/>
          <w:color w:val="000000"/>
          <w:sz w:val="18"/>
          <w:szCs w:val="19"/>
        </w:rPr>
        <w:t xml:space="preserve">the </w:t>
      </w:r>
      <w:r w:rsidR="000A5B63">
        <w:rPr>
          <w:rFonts w:ascii="Arial" w:hAnsi="Arial" w:cs="Arial"/>
          <w:color w:val="000000"/>
          <w:sz w:val="18"/>
          <w:szCs w:val="19"/>
        </w:rPr>
        <w:t xml:space="preserve">Assay </w:t>
      </w:r>
      <w:r w:rsidR="00A653F6">
        <w:rPr>
          <w:rFonts w:ascii="Arial" w:hAnsi="Arial" w:cs="Arial"/>
          <w:color w:val="000000"/>
          <w:sz w:val="18"/>
          <w:szCs w:val="19"/>
        </w:rPr>
        <w:t xml:space="preserve">can </w:t>
      </w:r>
      <w:r w:rsidR="007E312A">
        <w:rPr>
          <w:rFonts w:ascii="Arial" w:hAnsi="Arial" w:cs="Arial"/>
          <w:color w:val="000000"/>
          <w:sz w:val="18"/>
          <w:szCs w:val="19"/>
        </w:rPr>
        <w:t>measure</w:t>
      </w:r>
      <w:r w:rsidR="00A653F6">
        <w:rPr>
          <w:rFonts w:ascii="Arial" w:hAnsi="Arial" w:cs="Arial"/>
          <w:color w:val="000000"/>
          <w:sz w:val="18"/>
          <w:szCs w:val="19"/>
        </w:rPr>
        <w:t xml:space="preserve"> certain mRNA targets </w:t>
      </w:r>
      <w:r w:rsidR="007E312A">
        <w:rPr>
          <w:rFonts w:ascii="Arial" w:hAnsi="Arial" w:cs="Arial"/>
          <w:color w:val="000000"/>
          <w:sz w:val="18"/>
          <w:szCs w:val="19"/>
        </w:rPr>
        <w:t xml:space="preserve">from </w:t>
      </w:r>
      <w:r w:rsidR="00921C94">
        <w:rPr>
          <w:rFonts w:ascii="Arial" w:hAnsi="Arial" w:cs="Arial"/>
          <w:color w:val="000000"/>
          <w:sz w:val="18"/>
          <w:szCs w:val="19"/>
        </w:rPr>
        <w:t xml:space="preserve">FFPE </w:t>
      </w:r>
      <w:r w:rsidR="007E312A">
        <w:rPr>
          <w:rFonts w:ascii="Arial" w:hAnsi="Arial" w:cs="Arial"/>
          <w:color w:val="000000"/>
          <w:sz w:val="18"/>
          <w:szCs w:val="19"/>
        </w:rPr>
        <w:t xml:space="preserve">samples for research use </w:t>
      </w:r>
      <w:r w:rsidR="00A653F6">
        <w:rPr>
          <w:rFonts w:ascii="Arial" w:hAnsi="Arial" w:cs="Arial"/>
          <w:color w:val="000000"/>
          <w:sz w:val="18"/>
          <w:szCs w:val="19"/>
        </w:rPr>
        <w:t>only (RUO)</w:t>
      </w:r>
      <w:r w:rsidR="007E312A">
        <w:rPr>
          <w:rFonts w:ascii="Arial" w:hAnsi="Arial" w:cs="Arial"/>
          <w:color w:val="000000"/>
          <w:sz w:val="18"/>
          <w:szCs w:val="19"/>
        </w:rPr>
        <w:t xml:space="preserve"> purposes</w:t>
      </w:r>
      <w:r w:rsidR="000A5B63">
        <w:rPr>
          <w:rFonts w:ascii="Arial" w:hAnsi="Arial" w:cs="Arial"/>
          <w:color w:val="000000"/>
          <w:sz w:val="18"/>
          <w:szCs w:val="19"/>
        </w:rPr>
        <w:t xml:space="preserve">.  </w:t>
      </w:r>
      <w:r w:rsidR="00484B5E">
        <w:rPr>
          <w:rFonts w:ascii="Arial" w:hAnsi="Arial" w:cs="Arial"/>
          <w:color w:val="000000"/>
          <w:sz w:val="18"/>
          <w:szCs w:val="19"/>
        </w:rPr>
        <w:t>This white paper provides information for</w:t>
      </w:r>
      <w:r w:rsidR="00A653F6">
        <w:rPr>
          <w:rFonts w:ascii="Arial" w:hAnsi="Arial" w:cs="Arial"/>
          <w:color w:val="000000"/>
          <w:sz w:val="18"/>
          <w:szCs w:val="19"/>
        </w:rPr>
        <w:t xml:space="preserve"> </w:t>
      </w:r>
      <w:r w:rsidR="007E312A">
        <w:rPr>
          <w:rFonts w:ascii="Arial" w:hAnsi="Arial" w:cs="Arial"/>
          <w:color w:val="000000"/>
          <w:sz w:val="18"/>
          <w:szCs w:val="19"/>
        </w:rPr>
        <w:t xml:space="preserve">the RUO </w:t>
      </w:r>
      <w:r w:rsidR="00721F87">
        <w:rPr>
          <w:rFonts w:ascii="Arial" w:hAnsi="Arial" w:cs="Arial"/>
          <w:color w:val="000000"/>
          <w:sz w:val="18"/>
          <w:szCs w:val="19"/>
        </w:rPr>
        <w:t>applications of the Assay.</w:t>
      </w:r>
      <w:r w:rsidR="007E312A">
        <w:rPr>
          <w:rFonts w:ascii="Arial" w:hAnsi="Arial" w:cs="Arial"/>
          <w:color w:val="000000"/>
          <w:sz w:val="18"/>
          <w:szCs w:val="19"/>
        </w:rPr>
        <w:t xml:space="preserve">  </w:t>
      </w:r>
    </w:p>
    <w:p w14:paraId="188368D4" w14:textId="77777777" w:rsidR="00252EF2" w:rsidRPr="00252EF2" w:rsidRDefault="00252EF2" w:rsidP="00252EF2">
      <w:pPr>
        <w:spacing w:before="1"/>
        <w:rPr>
          <w:rFonts w:ascii="Arial" w:hAnsi="Arial" w:cs="Arial"/>
          <w:color w:val="000000"/>
          <w:sz w:val="18"/>
          <w:szCs w:val="19"/>
        </w:rPr>
      </w:pPr>
    </w:p>
    <w:p w14:paraId="045944D7" w14:textId="77777777" w:rsidR="00252EF2" w:rsidRDefault="00252EF2" w:rsidP="00252EF2">
      <w:pPr>
        <w:spacing w:before="1"/>
        <w:rPr>
          <w:rFonts w:ascii="Arial" w:eastAsia="Trebuchet MS" w:hAnsi="Arial" w:cs="Arial"/>
          <w:spacing w:val="-3"/>
          <w:sz w:val="18"/>
          <w:szCs w:val="19"/>
        </w:rPr>
      </w:pPr>
      <w:r w:rsidRPr="00252EF2">
        <w:rPr>
          <w:rFonts w:ascii="Arial" w:hAnsi="Arial" w:cs="Arial"/>
          <w:color w:val="000000"/>
          <w:sz w:val="18"/>
          <w:szCs w:val="19"/>
        </w:rPr>
        <w:t xml:space="preserve">The </w:t>
      </w:r>
      <w:r w:rsidR="007E312A">
        <w:rPr>
          <w:rFonts w:ascii="Arial" w:hAnsi="Arial" w:cs="Arial"/>
          <w:color w:val="000000"/>
          <w:sz w:val="18"/>
          <w:szCs w:val="19"/>
        </w:rPr>
        <w:t>A</w:t>
      </w:r>
      <w:r w:rsidRPr="00252EF2">
        <w:rPr>
          <w:rFonts w:ascii="Arial" w:hAnsi="Arial" w:cs="Arial"/>
          <w:color w:val="000000"/>
          <w:sz w:val="18"/>
          <w:szCs w:val="19"/>
        </w:rPr>
        <w:t xml:space="preserve">ssay is automated using the HTG EdgeSeq system.  Data can be accessed by logging into the HTG Edge host computer using one of two modes:  IVD mode or </w:t>
      </w:r>
      <w:r w:rsidR="007E312A">
        <w:rPr>
          <w:rFonts w:ascii="Arial" w:hAnsi="Arial" w:cs="Arial"/>
          <w:color w:val="000000"/>
          <w:sz w:val="18"/>
          <w:szCs w:val="19"/>
        </w:rPr>
        <w:t>RUO</w:t>
      </w:r>
      <w:r w:rsidR="000A5B63">
        <w:rPr>
          <w:rFonts w:ascii="Arial" w:hAnsi="Arial" w:cs="Arial"/>
          <w:color w:val="000000"/>
          <w:sz w:val="18"/>
          <w:szCs w:val="19"/>
        </w:rPr>
        <w:t xml:space="preserve"> mode.  When logged into the</w:t>
      </w:r>
      <w:r w:rsidRPr="00252EF2">
        <w:rPr>
          <w:rFonts w:ascii="Arial" w:hAnsi="Arial" w:cs="Arial"/>
          <w:color w:val="000000"/>
          <w:sz w:val="18"/>
          <w:szCs w:val="19"/>
        </w:rPr>
        <w:t xml:space="preserve"> IVD mode laboratories can </w:t>
      </w:r>
      <w:r w:rsidR="000A5B63">
        <w:rPr>
          <w:rFonts w:ascii="Arial" w:hAnsi="Arial" w:cs="Arial"/>
          <w:color w:val="000000"/>
          <w:sz w:val="18"/>
          <w:szCs w:val="19"/>
        </w:rPr>
        <w:t>obtain</w:t>
      </w:r>
      <w:r w:rsidRPr="00252EF2">
        <w:rPr>
          <w:rFonts w:ascii="Arial" w:hAnsi="Arial" w:cs="Arial"/>
          <w:color w:val="000000"/>
          <w:sz w:val="18"/>
          <w:szCs w:val="19"/>
        </w:rPr>
        <w:t xml:space="preserve"> ALK status.  When logged</w:t>
      </w:r>
      <w:r w:rsidR="000A5B63">
        <w:rPr>
          <w:rFonts w:ascii="Arial" w:hAnsi="Arial" w:cs="Arial"/>
          <w:color w:val="000000"/>
          <w:sz w:val="18"/>
          <w:szCs w:val="19"/>
        </w:rPr>
        <w:t xml:space="preserve"> into the</w:t>
      </w:r>
      <w:r w:rsidRPr="00252EF2">
        <w:rPr>
          <w:rFonts w:ascii="Arial" w:hAnsi="Arial" w:cs="Arial"/>
          <w:color w:val="000000"/>
          <w:sz w:val="18"/>
          <w:szCs w:val="19"/>
        </w:rPr>
        <w:t xml:space="preserve"> RUO mode</w:t>
      </w:r>
      <w:r w:rsidR="000A5B63">
        <w:rPr>
          <w:rFonts w:ascii="Arial" w:hAnsi="Arial" w:cs="Arial"/>
          <w:color w:val="000000"/>
          <w:sz w:val="18"/>
          <w:szCs w:val="19"/>
        </w:rPr>
        <w:t>,</w:t>
      </w:r>
      <w:r w:rsidRPr="00252EF2">
        <w:rPr>
          <w:rFonts w:ascii="Arial" w:hAnsi="Arial" w:cs="Arial"/>
          <w:color w:val="000000"/>
          <w:sz w:val="18"/>
          <w:szCs w:val="19"/>
        </w:rPr>
        <w:t xml:space="preserve"> laboratories can access additional biomarker data for ALK</w:t>
      </w:r>
      <w:r w:rsidRPr="00252EF2">
        <w:rPr>
          <w:rStyle w:val="FootnoteReference"/>
          <w:rFonts w:ascii="Arial" w:hAnsi="Arial" w:cs="Arial"/>
          <w:color w:val="000000"/>
          <w:sz w:val="18"/>
          <w:szCs w:val="19"/>
        </w:rPr>
        <w:footnoteReference w:id="1"/>
      </w:r>
      <w:r w:rsidRPr="00252EF2">
        <w:rPr>
          <w:rFonts w:ascii="Arial" w:hAnsi="Arial" w:cs="Arial"/>
          <w:color w:val="000000"/>
          <w:sz w:val="18"/>
          <w:szCs w:val="19"/>
        </w:rPr>
        <w:t>, ROS1, RET, NTRK1, HER2 and cMET. This all-in-one test is available for use on the Illumina MiSeqDx and Illumina MiSeq</w:t>
      </w:r>
      <w:r w:rsidR="00E5139B">
        <w:rPr>
          <w:rStyle w:val="FootnoteReference"/>
          <w:rFonts w:ascii="Arial" w:hAnsi="Arial" w:cs="Arial"/>
          <w:color w:val="000000"/>
          <w:sz w:val="18"/>
          <w:szCs w:val="19"/>
        </w:rPr>
        <w:footnoteReference w:id="2"/>
      </w:r>
      <w:r w:rsidRPr="00252EF2">
        <w:rPr>
          <w:rFonts w:ascii="Arial" w:hAnsi="Arial" w:cs="Arial"/>
          <w:color w:val="000000"/>
          <w:sz w:val="18"/>
          <w:szCs w:val="19"/>
        </w:rPr>
        <w:t xml:space="preserve"> next-generation sequencers.</w:t>
      </w:r>
      <w:r w:rsidRPr="00252EF2">
        <w:rPr>
          <w:rFonts w:ascii="Arial" w:eastAsia="Trebuchet MS" w:hAnsi="Arial" w:cs="Arial"/>
          <w:spacing w:val="-3"/>
          <w:sz w:val="18"/>
          <w:szCs w:val="19"/>
        </w:rPr>
        <w:t xml:space="preserve"> </w:t>
      </w:r>
      <w:r w:rsidRPr="00252EF2">
        <w:rPr>
          <w:rFonts w:ascii="Arial" w:hAnsi="Arial" w:cs="Arial"/>
          <w:color w:val="000000"/>
          <w:sz w:val="18"/>
          <w:szCs w:val="19"/>
        </w:rPr>
        <w:t xml:space="preserve">All data generated by the system in RUO mode </w:t>
      </w:r>
      <w:r w:rsidRPr="00252EF2">
        <w:rPr>
          <w:rFonts w:ascii="Arial" w:eastAsia="Trebuchet MS" w:hAnsi="Arial" w:cs="Arial"/>
          <w:spacing w:val="-3"/>
          <w:sz w:val="18"/>
          <w:szCs w:val="19"/>
        </w:rPr>
        <w:t>is for research use only, and should not be used for diagnostic purposes.</w:t>
      </w:r>
      <w:r w:rsidRPr="00FB1052">
        <w:rPr>
          <w:rStyle w:val="FootnoteReference"/>
          <w:rFonts w:ascii="Arial" w:eastAsia="Trebuchet MS" w:hAnsi="Arial" w:cs="Arial"/>
          <w:spacing w:val="-3"/>
          <w:sz w:val="19"/>
          <w:szCs w:val="19"/>
        </w:rPr>
        <w:footnoteReference w:id="3"/>
      </w:r>
    </w:p>
    <w:p w14:paraId="6FB2ABF1" w14:textId="77777777" w:rsidR="003146B2" w:rsidRPr="00FB1052" w:rsidRDefault="003146B2" w:rsidP="00252EF2">
      <w:pPr>
        <w:spacing w:before="1"/>
        <w:rPr>
          <w:rFonts w:ascii="Arial" w:eastAsia="Trebuchet MS" w:hAnsi="Arial" w:cs="Arial"/>
          <w:spacing w:val="-3"/>
          <w:sz w:val="19"/>
          <w:szCs w:val="19"/>
        </w:rPr>
      </w:pPr>
    </w:p>
    <w:p w14:paraId="347B3377" w14:textId="77777777" w:rsidR="00252EF2" w:rsidRDefault="00252EF2" w:rsidP="00252EF2">
      <w:pPr>
        <w:spacing w:before="68"/>
        <w:ind w:right="202"/>
        <w:outlineLvl w:val="0"/>
        <w:rPr>
          <w:rFonts w:ascii="Arial" w:hAnsi="Arial" w:cs="Arial"/>
          <w:b/>
        </w:rPr>
      </w:pPr>
      <w:r>
        <w:rPr>
          <w:rFonts w:ascii="Arial" w:hAnsi="Arial" w:cs="Arial"/>
          <w:b/>
        </w:rPr>
        <w:t>Rearrangement Probes</w:t>
      </w:r>
    </w:p>
    <w:p w14:paraId="757219E5" w14:textId="77777777" w:rsidR="00252EF2" w:rsidRPr="00252EF2" w:rsidRDefault="00484B5E" w:rsidP="00252EF2">
      <w:pPr>
        <w:spacing w:before="1"/>
        <w:rPr>
          <w:rFonts w:ascii="Arial" w:eastAsia="Trebuchet MS" w:hAnsi="Arial" w:cs="Arial"/>
          <w:spacing w:val="-3"/>
          <w:sz w:val="18"/>
          <w:szCs w:val="19"/>
        </w:rPr>
      </w:pPr>
      <w:r>
        <w:rPr>
          <w:rFonts w:ascii="Arial" w:eastAsia="Trebuchet MS" w:hAnsi="Arial" w:cs="Arial"/>
          <w:spacing w:val="-3"/>
          <w:sz w:val="18"/>
          <w:szCs w:val="19"/>
        </w:rPr>
        <w:t xml:space="preserve">ALK, ROS1, RET, and NTRK1 genes each are known to undergo rearrangement, whereby a 5’ region of the gene is displaced by a gene rearrangement partner. One way to detect such rearrangements is to measure an imbalance between the occurrence of the 5’ and 3’ ends of a subject gene. </w:t>
      </w:r>
      <w:r w:rsidR="00252EF2" w:rsidRPr="00252EF2">
        <w:rPr>
          <w:rFonts w:ascii="Arial" w:eastAsia="Trebuchet MS" w:hAnsi="Arial" w:cs="Arial"/>
          <w:spacing w:val="-3"/>
          <w:sz w:val="18"/>
          <w:szCs w:val="19"/>
        </w:rPr>
        <w:t xml:space="preserve">Probes tiled across the 5’ and 3’ regions of the ALK, ROS1, RET, and NTRK1 genes were designed to be specific to the regions upstream and downstream of the reported rearrangement junction sites. Multiple probes are provided for each 5’ and 3’ regions, the description and naming convention for these probes are detailed in Figure 1.  </w:t>
      </w:r>
    </w:p>
    <w:p w14:paraId="355852D7" w14:textId="77777777" w:rsidR="00252EF2" w:rsidRPr="00252EF2" w:rsidRDefault="00252EF2" w:rsidP="00252EF2">
      <w:pPr>
        <w:spacing w:before="1"/>
        <w:ind w:left="180"/>
        <w:rPr>
          <w:rFonts w:ascii="Arial" w:eastAsia="Trebuchet MS" w:hAnsi="Arial" w:cs="Arial"/>
          <w:spacing w:val="-3"/>
          <w:sz w:val="18"/>
          <w:szCs w:val="19"/>
        </w:rPr>
      </w:pPr>
    </w:p>
    <w:p w14:paraId="186EC445" w14:textId="77777777" w:rsidR="00885340" w:rsidRDefault="000A5B63" w:rsidP="00252EF2">
      <w:pPr>
        <w:spacing w:before="1"/>
        <w:rPr>
          <w:rFonts w:ascii="Arial" w:eastAsia="Trebuchet MS" w:hAnsi="Arial" w:cs="Arial"/>
          <w:sz w:val="18"/>
          <w:szCs w:val="19"/>
        </w:rPr>
      </w:pPr>
      <w:r>
        <w:rPr>
          <w:rFonts w:ascii="Arial" w:eastAsia="Trebuchet MS" w:hAnsi="Arial" w:cs="Arial"/>
          <w:sz w:val="18"/>
          <w:szCs w:val="19"/>
        </w:rPr>
        <w:t>The 5’ and 3’ rearrangement probe sets</w:t>
      </w:r>
      <w:r w:rsidR="00252EF2" w:rsidRPr="00252EF2">
        <w:rPr>
          <w:rFonts w:ascii="Arial" w:eastAsia="Trebuchet MS" w:hAnsi="Arial" w:cs="Arial"/>
          <w:sz w:val="18"/>
          <w:szCs w:val="19"/>
        </w:rPr>
        <w:t xml:space="preserve"> for any given gene will generally express at similar levels in samples which do not contain gene rearrangements, </w:t>
      </w:r>
    </w:p>
    <w:p w14:paraId="6C6C4D73" w14:textId="77777777" w:rsidR="00252EF2" w:rsidRPr="00252EF2" w:rsidRDefault="00252EF2" w:rsidP="00252EF2">
      <w:pPr>
        <w:spacing w:before="1"/>
        <w:rPr>
          <w:rFonts w:ascii="Arial" w:eastAsia="Trebuchet MS" w:hAnsi="Arial" w:cs="Arial"/>
          <w:sz w:val="18"/>
          <w:szCs w:val="19"/>
        </w:rPr>
      </w:pPr>
      <w:r w:rsidRPr="00252EF2">
        <w:rPr>
          <w:rFonts w:ascii="Arial" w:eastAsia="Trebuchet MS" w:hAnsi="Arial" w:cs="Arial"/>
          <w:sz w:val="18"/>
          <w:szCs w:val="19"/>
        </w:rPr>
        <w:lastRenderedPageBreak/>
        <w:t>while samples with known gene rearrangements normally exhibit higher relative expression in the 3’ probes than the 5’ set.</w:t>
      </w:r>
    </w:p>
    <w:p w14:paraId="11E4326F" w14:textId="77777777" w:rsidR="00252EF2" w:rsidRDefault="00252EF2" w:rsidP="00252EF2">
      <w:pPr>
        <w:spacing w:before="1"/>
        <w:ind w:left="180"/>
        <w:rPr>
          <w:rFonts w:ascii="Arial" w:eastAsia="Trebuchet MS" w:hAnsi="Arial" w:cs="Arial"/>
          <w:spacing w:val="-3"/>
          <w:sz w:val="18"/>
          <w:szCs w:val="19"/>
        </w:rPr>
      </w:pPr>
    </w:p>
    <w:p w14:paraId="7A6F9753" w14:textId="77777777" w:rsidR="00252EF2" w:rsidRPr="00252EF2" w:rsidRDefault="00252EF2" w:rsidP="00252EF2">
      <w:pPr>
        <w:spacing w:before="1"/>
        <w:rPr>
          <w:rFonts w:ascii="Arial" w:eastAsia="Trebuchet MS" w:hAnsi="Arial" w:cs="Arial"/>
          <w:spacing w:val="-3"/>
          <w:sz w:val="18"/>
          <w:szCs w:val="19"/>
        </w:rPr>
      </w:pPr>
      <w:r w:rsidRPr="00252EF2">
        <w:rPr>
          <w:rFonts w:ascii="Arial" w:eastAsia="Trebuchet MS" w:hAnsi="Arial" w:cs="Arial"/>
          <w:spacing w:val="-3"/>
          <w:sz w:val="18"/>
          <w:szCs w:val="19"/>
        </w:rPr>
        <w:t>The numbering of th</w:t>
      </w:r>
      <w:r>
        <w:rPr>
          <w:rFonts w:ascii="Arial" w:eastAsia="Trebuchet MS" w:hAnsi="Arial" w:cs="Arial"/>
          <w:spacing w:val="-3"/>
          <w:sz w:val="18"/>
          <w:szCs w:val="19"/>
        </w:rPr>
        <w:t xml:space="preserve">e probes in the set (T1, T2, T3…) </w:t>
      </w:r>
      <w:r w:rsidRPr="00252EF2">
        <w:rPr>
          <w:rFonts w:ascii="Arial" w:eastAsia="Trebuchet MS" w:hAnsi="Arial" w:cs="Arial"/>
          <w:spacing w:val="-3"/>
          <w:sz w:val="18"/>
          <w:szCs w:val="19"/>
        </w:rPr>
        <w:t xml:space="preserve">is arbitrary, and not a reflection of probe performance, quality or other characteristics. The numbers also do </w:t>
      </w:r>
      <w:r>
        <w:rPr>
          <w:rFonts w:ascii="Arial" w:eastAsia="Trebuchet MS" w:hAnsi="Arial" w:cs="Arial"/>
          <w:spacing w:val="-3"/>
          <w:sz w:val="18"/>
          <w:szCs w:val="19"/>
        </w:rPr>
        <w:t xml:space="preserve">not </w:t>
      </w:r>
      <w:r w:rsidRPr="00252EF2">
        <w:rPr>
          <w:rFonts w:ascii="Arial" w:eastAsia="Trebuchet MS" w:hAnsi="Arial" w:cs="Arial"/>
          <w:spacing w:val="-3"/>
          <w:sz w:val="18"/>
          <w:szCs w:val="19"/>
        </w:rPr>
        <w:t xml:space="preserve">designate that any specific 5’ probe should be paired with a specific 3’ probe. </w:t>
      </w:r>
    </w:p>
    <w:p w14:paraId="260D448A" w14:textId="77777777" w:rsidR="00252EF2" w:rsidRPr="00E9375F" w:rsidRDefault="00252EF2" w:rsidP="00252EF2">
      <w:pPr>
        <w:spacing w:before="1"/>
        <w:rPr>
          <w:rFonts w:ascii="Arial" w:eastAsia="Trebuchet MS" w:hAnsi="Arial" w:cs="Arial"/>
          <w:spacing w:val="-3"/>
        </w:rPr>
      </w:pPr>
      <w:r w:rsidRPr="00925E21">
        <w:rPr>
          <w:rFonts w:ascii="Arial" w:eastAsia="Trebuchet MS" w:hAnsi="Arial" w:cs="Arial"/>
          <w:noProof/>
          <w:spacing w:val="-3"/>
        </w:rPr>
        <w:drawing>
          <wp:inline distT="0" distB="0" distL="0" distR="0" wp14:anchorId="2F648D56" wp14:editId="3F8EF9C1">
            <wp:extent cx="2847835" cy="987662"/>
            <wp:effectExtent l="0" t="0" r="0" b="3175"/>
            <wp:docPr id="3" name="Picture 3" descr="C:\Users\jwluecke\AppData\Local\Microsoft\Windows\Temporary Internet Files\Content.Outlook\ONK11MCR\RET3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luecke\AppData\Local\Microsoft\Windows\Temporary Internet Files\Content.Outlook\ONK11MCR\RET3p 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5426" cy="1014571"/>
                    </a:xfrm>
                    <a:prstGeom prst="rect">
                      <a:avLst/>
                    </a:prstGeom>
                    <a:noFill/>
                    <a:ln>
                      <a:noFill/>
                    </a:ln>
                  </pic:spPr>
                </pic:pic>
              </a:graphicData>
            </a:graphic>
          </wp:inline>
        </w:drawing>
      </w:r>
      <w:r>
        <w:rPr>
          <w:rFonts w:ascii="Arial" w:hAnsi="Arial" w:cs="Arial"/>
          <w:sz w:val="16"/>
        </w:rPr>
        <w:t>Figure</w:t>
      </w:r>
      <w:r w:rsidRPr="00E9375F">
        <w:rPr>
          <w:rFonts w:ascii="Arial" w:hAnsi="Arial" w:cs="Arial"/>
          <w:sz w:val="16"/>
        </w:rPr>
        <w:t xml:space="preserve"> 1: </w:t>
      </w:r>
      <w:r>
        <w:rPr>
          <w:rFonts w:ascii="Arial" w:hAnsi="Arial" w:cs="Arial"/>
          <w:sz w:val="16"/>
        </w:rPr>
        <w:t>Naming conventions for r</w:t>
      </w:r>
      <w:r w:rsidRPr="00B712AB">
        <w:rPr>
          <w:rFonts w:ascii="Arial" w:hAnsi="Arial" w:cs="Arial"/>
          <w:sz w:val="16"/>
        </w:rPr>
        <w:t>earrangement probe</w:t>
      </w:r>
      <w:r>
        <w:rPr>
          <w:rFonts w:ascii="Arial" w:hAnsi="Arial" w:cs="Arial"/>
          <w:sz w:val="16"/>
        </w:rPr>
        <w:t xml:space="preserve"> gene</w:t>
      </w:r>
      <w:r w:rsidRPr="00B712AB">
        <w:rPr>
          <w:rFonts w:ascii="Arial" w:hAnsi="Arial" w:cs="Arial"/>
          <w:sz w:val="16"/>
        </w:rPr>
        <w:t>s provided in the HTG EdgeSeq ALK</w:t>
      </w:r>
      <w:r w:rsidRPr="008E2126">
        <w:rPr>
          <w:rFonts w:ascii="Arial" w:hAnsi="Arial" w:cs="Arial"/>
          <w:i/>
          <w:sz w:val="16"/>
        </w:rPr>
        <w:t>Plus</w:t>
      </w:r>
      <w:r w:rsidRPr="00B712AB">
        <w:rPr>
          <w:rFonts w:ascii="Arial" w:hAnsi="Arial" w:cs="Arial"/>
          <w:sz w:val="16"/>
        </w:rPr>
        <w:t xml:space="preserve"> Assay</w:t>
      </w:r>
      <w:r>
        <w:rPr>
          <w:rFonts w:ascii="Arial" w:hAnsi="Arial" w:cs="Arial"/>
          <w:sz w:val="16"/>
        </w:rPr>
        <w:t xml:space="preserve"> EU</w:t>
      </w:r>
      <w:r w:rsidRPr="00B712AB">
        <w:rPr>
          <w:rFonts w:ascii="Arial" w:hAnsi="Arial" w:cs="Arial"/>
          <w:sz w:val="16"/>
        </w:rPr>
        <w:t>.</w:t>
      </w:r>
    </w:p>
    <w:p w14:paraId="660B1F7F" w14:textId="77777777" w:rsidR="00252EF2" w:rsidRDefault="00252EF2" w:rsidP="00252EF2">
      <w:pPr>
        <w:spacing w:line="247" w:lineRule="auto"/>
        <w:ind w:left="186" w:right="206" w:firstLine="5"/>
        <w:rPr>
          <w:rFonts w:ascii="Arial" w:eastAsia="Trebuchet MS" w:hAnsi="Arial" w:cs="Arial"/>
          <w:sz w:val="20"/>
          <w:szCs w:val="20"/>
        </w:rPr>
      </w:pPr>
    </w:p>
    <w:p w14:paraId="53C44246" w14:textId="77777777" w:rsidR="00252EF2" w:rsidRDefault="00252EF2" w:rsidP="006817C7">
      <w:pPr>
        <w:spacing w:line="247" w:lineRule="auto"/>
        <w:ind w:right="206" w:firstLine="5"/>
        <w:rPr>
          <w:rFonts w:ascii="Arial" w:hAnsi="Arial" w:cs="Arial"/>
          <w:sz w:val="16"/>
        </w:rPr>
      </w:pPr>
      <w:r>
        <w:rPr>
          <w:rFonts w:ascii="Arial" w:hAnsi="Arial" w:cs="Arial"/>
          <w:sz w:val="16"/>
        </w:rPr>
        <w:t>Table</w:t>
      </w:r>
      <w:r w:rsidRPr="00E9375F">
        <w:rPr>
          <w:rFonts w:ascii="Arial" w:hAnsi="Arial" w:cs="Arial"/>
          <w:sz w:val="16"/>
        </w:rPr>
        <w:t xml:space="preserve"> 1: </w:t>
      </w:r>
      <w:r>
        <w:rPr>
          <w:rFonts w:ascii="Arial" w:hAnsi="Arial" w:cs="Arial"/>
          <w:sz w:val="16"/>
        </w:rPr>
        <w:t>P</w:t>
      </w:r>
      <w:r w:rsidRPr="00B712AB">
        <w:rPr>
          <w:rFonts w:ascii="Arial" w:hAnsi="Arial" w:cs="Arial"/>
          <w:sz w:val="16"/>
        </w:rPr>
        <w:t xml:space="preserve">robes </w:t>
      </w:r>
      <w:r>
        <w:rPr>
          <w:rFonts w:ascii="Arial" w:hAnsi="Arial" w:cs="Arial"/>
          <w:sz w:val="16"/>
        </w:rPr>
        <w:t xml:space="preserve">measuring the 5’ and 3’ ends of genes </w:t>
      </w:r>
      <w:r w:rsidRPr="00B712AB">
        <w:rPr>
          <w:rFonts w:ascii="Arial" w:hAnsi="Arial" w:cs="Arial"/>
          <w:sz w:val="16"/>
        </w:rPr>
        <w:t>provided in the HTG EdgeSeq ALK</w:t>
      </w:r>
      <w:r w:rsidRPr="00C7562F">
        <w:rPr>
          <w:rFonts w:ascii="Arial" w:hAnsi="Arial" w:cs="Arial"/>
          <w:i/>
          <w:sz w:val="16"/>
        </w:rPr>
        <w:t>Plus</w:t>
      </w:r>
      <w:r w:rsidRPr="00B712AB">
        <w:rPr>
          <w:rFonts w:ascii="Arial" w:hAnsi="Arial" w:cs="Arial"/>
          <w:sz w:val="16"/>
        </w:rPr>
        <w:t xml:space="preserve"> Assay</w:t>
      </w:r>
      <w:r>
        <w:rPr>
          <w:rFonts w:ascii="Arial" w:hAnsi="Arial" w:cs="Arial"/>
          <w:sz w:val="16"/>
        </w:rPr>
        <w:t xml:space="preserve"> EU</w:t>
      </w:r>
      <w:r w:rsidRPr="00B712AB">
        <w:rPr>
          <w:rFonts w:ascii="Arial" w:hAnsi="Arial" w:cs="Arial"/>
          <w:sz w:val="16"/>
        </w:rPr>
        <w:t>.</w:t>
      </w:r>
    </w:p>
    <w:p w14:paraId="2B2F49ED" w14:textId="77777777" w:rsidR="00252EF2" w:rsidRDefault="006817C7" w:rsidP="006817C7">
      <w:pPr>
        <w:spacing w:line="247" w:lineRule="auto"/>
        <w:ind w:left="5" w:right="206" w:firstLine="5"/>
        <w:rPr>
          <w:rFonts w:ascii="Arial" w:hAnsi="Arial" w:cs="Arial"/>
          <w:sz w:val="16"/>
        </w:rPr>
      </w:pPr>
      <w:r w:rsidRPr="003A1359">
        <w:rPr>
          <w:rFonts w:ascii="Arial" w:eastAsia="Trebuchet MS" w:hAnsi="Arial" w:cs="Arial"/>
          <w:noProof/>
          <w:sz w:val="20"/>
          <w:szCs w:val="20"/>
        </w:rPr>
        <w:drawing>
          <wp:anchor distT="0" distB="0" distL="114300" distR="114300" simplePos="0" relativeHeight="251659264" behindDoc="0" locked="0" layoutInCell="1" allowOverlap="1" wp14:anchorId="6B102EF6" wp14:editId="66E68901">
            <wp:simplePos x="0" y="0"/>
            <wp:positionH relativeFrom="column">
              <wp:posOffset>49323</wp:posOffset>
            </wp:positionH>
            <wp:positionV relativeFrom="paragraph">
              <wp:posOffset>20955</wp:posOffset>
            </wp:positionV>
            <wp:extent cx="2859042" cy="1064078"/>
            <wp:effectExtent l="0" t="0" r="1143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9042" cy="1064078"/>
                    </a:xfrm>
                    <a:prstGeom prst="rect">
                      <a:avLst/>
                    </a:prstGeom>
                  </pic:spPr>
                </pic:pic>
              </a:graphicData>
            </a:graphic>
            <wp14:sizeRelH relativeFrom="margin">
              <wp14:pctWidth>0</wp14:pctWidth>
            </wp14:sizeRelH>
            <wp14:sizeRelV relativeFrom="margin">
              <wp14:pctHeight>0</wp14:pctHeight>
            </wp14:sizeRelV>
          </wp:anchor>
        </w:drawing>
      </w:r>
    </w:p>
    <w:p w14:paraId="5033E269" w14:textId="77777777" w:rsidR="00252EF2" w:rsidRDefault="00252EF2" w:rsidP="00252EF2">
      <w:pPr>
        <w:spacing w:line="247" w:lineRule="auto"/>
        <w:ind w:right="206"/>
        <w:rPr>
          <w:rFonts w:ascii="Arial" w:hAnsi="Arial" w:cs="Arial"/>
          <w:sz w:val="16"/>
        </w:rPr>
      </w:pPr>
    </w:p>
    <w:p w14:paraId="7181C3C3" w14:textId="77777777" w:rsidR="00252EF2" w:rsidRPr="00E9375F" w:rsidRDefault="00252EF2" w:rsidP="00252EF2">
      <w:pPr>
        <w:spacing w:line="247" w:lineRule="auto"/>
        <w:ind w:left="186" w:right="206" w:firstLine="5"/>
        <w:rPr>
          <w:rFonts w:ascii="Arial" w:eastAsia="Trebuchet MS" w:hAnsi="Arial" w:cs="Arial"/>
        </w:rPr>
      </w:pPr>
    </w:p>
    <w:p w14:paraId="1A400614" w14:textId="77777777" w:rsidR="00252EF2" w:rsidRPr="000607AD" w:rsidRDefault="00252EF2" w:rsidP="00252EF2">
      <w:pPr>
        <w:spacing w:before="11"/>
        <w:ind w:left="180"/>
        <w:rPr>
          <w:rFonts w:ascii="Arial" w:eastAsia="Trebuchet MS" w:hAnsi="Arial" w:cs="Arial"/>
          <w:szCs w:val="17"/>
        </w:rPr>
      </w:pPr>
    </w:p>
    <w:p w14:paraId="2535F905" w14:textId="77777777" w:rsidR="00252EF2" w:rsidRDefault="00252EF2" w:rsidP="00252EF2">
      <w:pPr>
        <w:spacing w:before="68"/>
        <w:ind w:right="206"/>
        <w:outlineLvl w:val="0"/>
        <w:rPr>
          <w:rFonts w:ascii="Arial" w:hAnsi="Arial" w:cs="Arial"/>
          <w:b/>
        </w:rPr>
      </w:pPr>
    </w:p>
    <w:p w14:paraId="229F00CC" w14:textId="77777777" w:rsidR="00A92391" w:rsidRDefault="00252EF2" w:rsidP="00252EF2">
      <w:pPr>
        <w:spacing w:before="68"/>
        <w:ind w:right="206"/>
        <w:outlineLvl w:val="0"/>
        <w:rPr>
          <w:rFonts w:ascii="Arial" w:hAnsi="Arial" w:cs="Arial"/>
          <w:b/>
        </w:rPr>
      </w:pPr>
      <w:r>
        <w:rPr>
          <w:rFonts w:ascii="Arial" w:hAnsi="Arial" w:cs="Arial"/>
          <w:b/>
        </w:rPr>
        <w:br/>
      </w:r>
    </w:p>
    <w:p w14:paraId="48EE4CA1" w14:textId="77777777" w:rsidR="00252EF2" w:rsidRDefault="00252EF2" w:rsidP="00252EF2">
      <w:pPr>
        <w:spacing w:before="68"/>
        <w:ind w:right="206"/>
        <w:outlineLvl w:val="0"/>
        <w:rPr>
          <w:rFonts w:ascii="Arial" w:hAnsi="Arial" w:cs="Arial"/>
          <w:b/>
        </w:rPr>
      </w:pPr>
      <w:r>
        <w:rPr>
          <w:rFonts w:ascii="Arial" w:hAnsi="Arial" w:cs="Arial"/>
          <w:b/>
        </w:rPr>
        <w:t>Fusion Junction Probes</w:t>
      </w:r>
    </w:p>
    <w:p w14:paraId="78FE9101" w14:textId="77777777" w:rsidR="00252EF2" w:rsidRPr="00252EF2" w:rsidRDefault="00252EF2" w:rsidP="00252EF2">
      <w:pPr>
        <w:pStyle w:val="BodyText"/>
        <w:ind w:left="0" w:right="212"/>
        <w:rPr>
          <w:rFonts w:ascii="Arial" w:hAnsi="Arial" w:cs="Arial"/>
          <w:sz w:val="18"/>
          <w:szCs w:val="19"/>
        </w:rPr>
      </w:pPr>
      <w:r w:rsidRPr="00252EF2">
        <w:rPr>
          <w:rFonts w:ascii="Arial" w:hAnsi="Arial" w:cs="Arial"/>
          <w:sz w:val="18"/>
          <w:szCs w:val="19"/>
        </w:rPr>
        <w:t xml:space="preserve">Often, a specific junction sequence appears in different samples, as exhibited by the prevalent EML4-ALK-v1 </w:t>
      </w:r>
      <w:r w:rsidR="000A5B63">
        <w:rPr>
          <w:rFonts w:ascii="Arial" w:hAnsi="Arial" w:cs="Arial"/>
          <w:sz w:val="18"/>
          <w:szCs w:val="19"/>
        </w:rPr>
        <w:t xml:space="preserve">and v3 probes which constitute </w:t>
      </w:r>
      <w:r w:rsidRPr="00252EF2">
        <w:rPr>
          <w:rFonts w:ascii="Arial" w:hAnsi="Arial" w:cs="Arial"/>
          <w:sz w:val="18"/>
          <w:szCs w:val="19"/>
        </w:rPr>
        <w:t xml:space="preserve">70% of EML4 ALK rearrangement. When a specific junction site was </w:t>
      </w:r>
      <w:r w:rsidR="000A5B63">
        <w:rPr>
          <w:rFonts w:ascii="Arial" w:hAnsi="Arial" w:cs="Arial"/>
          <w:sz w:val="18"/>
          <w:szCs w:val="19"/>
        </w:rPr>
        <w:t>frequently</w:t>
      </w:r>
      <w:r w:rsidRPr="00252EF2">
        <w:rPr>
          <w:rFonts w:ascii="Arial" w:hAnsi="Arial" w:cs="Arial"/>
          <w:sz w:val="18"/>
          <w:szCs w:val="19"/>
        </w:rPr>
        <w:t xml:space="preserve"> reported in public databases, a probe specific to the junction site was designed and included in the assay as shown in Table 2.  </w:t>
      </w:r>
      <w:r w:rsidRPr="00252EF2">
        <w:rPr>
          <w:rFonts w:ascii="Arial" w:hAnsi="Arial" w:cs="Arial"/>
          <w:spacing w:val="-3"/>
          <w:sz w:val="18"/>
          <w:szCs w:val="19"/>
        </w:rPr>
        <w:t>The description and naming convention for these probes are detailed in Figure 2.</w:t>
      </w:r>
    </w:p>
    <w:p w14:paraId="590DCF5E" w14:textId="77777777" w:rsidR="00252EF2" w:rsidRPr="00FB1052" w:rsidRDefault="003146B2" w:rsidP="00252EF2">
      <w:pPr>
        <w:pStyle w:val="BodyText"/>
        <w:ind w:left="180" w:right="212"/>
        <w:rPr>
          <w:rFonts w:ascii="Arial" w:hAnsi="Arial" w:cs="Arial"/>
          <w:sz w:val="19"/>
          <w:szCs w:val="19"/>
        </w:rPr>
      </w:pPr>
      <w:r w:rsidRPr="003A1359">
        <w:rPr>
          <w:rFonts w:ascii="Arial" w:hAnsi="Arial" w:cs="Arial"/>
          <w:noProof/>
        </w:rPr>
        <w:drawing>
          <wp:anchor distT="0" distB="0" distL="114300" distR="114300" simplePos="0" relativeHeight="251658239" behindDoc="0" locked="0" layoutInCell="1" allowOverlap="1" wp14:anchorId="3522CC19" wp14:editId="12FCA1AB">
            <wp:simplePos x="0" y="0"/>
            <wp:positionH relativeFrom="column">
              <wp:posOffset>49530</wp:posOffset>
            </wp:positionH>
            <wp:positionV relativeFrom="paragraph">
              <wp:posOffset>16510</wp:posOffset>
            </wp:positionV>
            <wp:extent cx="2856865" cy="967740"/>
            <wp:effectExtent l="0" t="0" r="635"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ML4-ALK-V1 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6865" cy="967740"/>
                    </a:xfrm>
                    <a:prstGeom prst="rect">
                      <a:avLst/>
                    </a:prstGeom>
                  </pic:spPr>
                </pic:pic>
              </a:graphicData>
            </a:graphic>
            <wp14:sizeRelH relativeFrom="margin">
              <wp14:pctWidth>0</wp14:pctWidth>
            </wp14:sizeRelH>
            <wp14:sizeRelV relativeFrom="margin">
              <wp14:pctHeight>0</wp14:pctHeight>
            </wp14:sizeRelV>
          </wp:anchor>
        </w:drawing>
      </w:r>
    </w:p>
    <w:p w14:paraId="01D93AAB" w14:textId="77777777" w:rsidR="00252EF2" w:rsidRDefault="00252EF2" w:rsidP="00252EF2">
      <w:pPr>
        <w:pStyle w:val="BodyText"/>
        <w:ind w:left="180" w:right="212"/>
        <w:rPr>
          <w:rFonts w:ascii="Arial" w:hAnsi="Arial" w:cs="Arial"/>
        </w:rPr>
      </w:pPr>
    </w:p>
    <w:p w14:paraId="05AC6CB8" w14:textId="77777777" w:rsidR="00252EF2" w:rsidRDefault="00252EF2" w:rsidP="00252EF2">
      <w:pPr>
        <w:spacing w:before="1"/>
        <w:ind w:left="180"/>
        <w:rPr>
          <w:rFonts w:ascii="Arial" w:hAnsi="Arial" w:cs="Arial"/>
          <w:sz w:val="16"/>
        </w:rPr>
      </w:pPr>
    </w:p>
    <w:p w14:paraId="42D383F8" w14:textId="77777777" w:rsidR="00252EF2" w:rsidRDefault="00252EF2" w:rsidP="00252EF2">
      <w:pPr>
        <w:spacing w:before="1"/>
        <w:ind w:left="180"/>
        <w:rPr>
          <w:rFonts w:ascii="Arial" w:hAnsi="Arial" w:cs="Arial"/>
          <w:sz w:val="16"/>
        </w:rPr>
      </w:pPr>
    </w:p>
    <w:p w14:paraId="477AA99C" w14:textId="77777777" w:rsidR="00252EF2" w:rsidRDefault="00252EF2" w:rsidP="00252EF2">
      <w:pPr>
        <w:spacing w:before="1"/>
        <w:ind w:left="180"/>
        <w:rPr>
          <w:rFonts w:ascii="Arial" w:hAnsi="Arial" w:cs="Arial"/>
          <w:sz w:val="16"/>
        </w:rPr>
      </w:pPr>
    </w:p>
    <w:p w14:paraId="47C99F23" w14:textId="77777777" w:rsidR="00252EF2" w:rsidRDefault="00252EF2" w:rsidP="00252EF2">
      <w:pPr>
        <w:spacing w:before="1"/>
        <w:ind w:left="180"/>
        <w:rPr>
          <w:rFonts w:ascii="Arial" w:hAnsi="Arial" w:cs="Arial"/>
          <w:sz w:val="16"/>
        </w:rPr>
      </w:pPr>
    </w:p>
    <w:p w14:paraId="1CEAD6E9" w14:textId="77777777" w:rsidR="00252EF2" w:rsidRDefault="00252EF2" w:rsidP="00252EF2">
      <w:pPr>
        <w:spacing w:before="1"/>
        <w:ind w:left="180"/>
        <w:rPr>
          <w:rFonts w:ascii="Arial" w:hAnsi="Arial" w:cs="Arial"/>
          <w:sz w:val="16"/>
        </w:rPr>
      </w:pPr>
    </w:p>
    <w:p w14:paraId="78437046" w14:textId="77777777" w:rsidR="00252EF2" w:rsidRDefault="00252EF2" w:rsidP="00252EF2">
      <w:pPr>
        <w:spacing w:before="1"/>
        <w:ind w:left="180"/>
        <w:rPr>
          <w:rFonts w:ascii="Arial" w:hAnsi="Arial" w:cs="Arial"/>
          <w:sz w:val="16"/>
        </w:rPr>
      </w:pPr>
    </w:p>
    <w:p w14:paraId="4E372025" w14:textId="77777777" w:rsidR="00252EF2" w:rsidRPr="00E9375F" w:rsidRDefault="00252EF2" w:rsidP="00252EF2">
      <w:pPr>
        <w:spacing w:before="1"/>
        <w:ind w:left="180"/>
        <w:rPr>
          <w:rFonts w:ascii="Arial" w:eastAsia="Trebuchet MS" w:hAnsi="Arial" w:cs="Arial"/>
          <w:spacing w:val="-3"/>
        </w:rPr>
      </w:pPr>
      <w:r>
        <w:rPr>
          <w:rFonts w:ascii="Arial" w:hAnsi="Arial" w:cs="Arial"/>
          <w:sz w:val="16"/>
        </w:rPr>
        <w:t>Figure</w:t>
      </w:r>
      <w:r w:rsidRPr="00E9375F">
        <w:rPr>
          <w:rFonts w:ascii="Arial" w:hAnsi="Arial" w:cs="Arial"/>
          <w:sz w:val="16"/>
        </w:rPr>
        <w:t xml:space="preserve"> </w:t>
      </w:r>
      <w:r>
        <w:rPr>
          <w:rFonts w:ascii="Arial" w:hAnsi="Arial" w:cs="Arial"/>
          <w:sz w:val="16"/>
        </w:rPr>
        <w:t>2</w:t>
      </w:r>
      <w:r w:rsidRPr="00E9375F">
        <w:rPr>
          <w:rFonts w:ascii="Arial" w:hAnsi="Arial" w:cs="Arial"/>
          <w:sz w:val="16"/>
        </w:rPr>
        <w:t xml:space="preserve">: </w:t>
      </w:r>
      <w:r>
        <w:rPr>
          <w:rFonts w:ascii="Arial" w:hAnsi="Arial" w:cs="Arial"/>
          <w:sz w:val="16"/>
        </w:rPr>
        <w:t>Naming conventions for fusion</w:t>
      </w:r>
      <w:r w:rsidRPr="00B712AB">
        <w:rPr>
          <w:rFonts w:ascii="Arial" w:hAnsi="Arial" w:cs="Arial"/>
          <w:sz w:val="16"/>
        </w:rPr>
        <w:t xml:space="preserve"> probe</w:t>
      </w:r>
      <w:r>
        <w:rPr>
          <w:rFonts w:ascii="Arial" w:hAnsi="Arial" w:cs="Arial"/>
          <w:sz w:val="16"/>
        </w:rPr>
        <w:t xml:space="preserve"> gene</w:t>
      </w:r>
      <w:r w:rsidRPr="00B712AB">
        <w:rPr>
          <w:rFonts w:ascii="Arial" w:hAnsi="Arial" w:cs="Arial"/>
          <w:sz w:val="16"/>
        </w:rPr>
        <w:t xml:space="preserve">s provided in the </w:t>
      </w:r>
      <w:r w:rsidRPr="00E20DAB">
        <w:rPr>
          <w:rFonts w:ascii="Arial" w:hAnsi="Arial" w:cs="Arial"/>
          <w:sz w:val="16"/>
        </w:rPr>
        <w:t>HTG EdgeSeq ALK</w:t>
      </w:r>
      <w:r w:rsidRPr="003A1359">
        <w:rPr>
          <w:rFonts w:ascii="Arial" w:hAnsi="Arial" w:cs="Arial"/>
          <w:i/>
          <w:sz w:val="16"/>
        </w:rPr>
        <w:t>Plus</w:t>
      </w:r>
      <w:r w:rsidRPr="00B712AB">
        <w:rPr>
          <w:rFonts w:ascii="Arial" w:hAnsi="Arial" w:cs="Arial"/>
          <w:sz w:val="16"/>
        </w:rPr>
        <w:t xml:space="preserve"> Assay</w:t>
      </w:r>
      <w:r>
        <w:rPr>
          <w:rFonts w:ascii="Arial" w:hAnsi="Arial" w:cs="Arial"/>
          <w:sz w:val="16"/>
        </w:rPr>
        <w:t xml:space="preserve"> EU</w:t>
      </w:r>
      <w:r w:rsidRPr="00B712AB">
        <w:rPr>
          <w:rFonts w:ascii="Arial" w:hAnsi="Arial" w:cs="Arial"/>
          <w:sz w:val="16"/>
        </w:rPr>
        <w:t>.</w:t>
      </w:r>
      <w:r w:rsidRPr="00E9375F">
        <w:rPr>
          <w:rFonts w:ascii="Arial" w:eastAsia="Trebuchet MS" w:hAnsi="Arial" w:cs="Arial"/>
          <w:spacing w:val="-3"/>
        </w:rPr>
        <w:t xml:space="preserve">   </w:t>
      </w:r>
    </w:p>
    <w:p w14:paraId="33D908E1" w14:textId="77777777" w:rsidR="006817C7" w:rsidRDefault="006817C7" w:rsidP="00A92391">
      <w:pPr>
        <w:spacing w:line="247" w:lineRule="auto"/>
        <w:ind w:right="206"/>
        <w:rPr>
          <w:rFonts w:ascii="Arial" w:hAnsi="Arial" w:cs="Arial"/>
          <w:sz w:val="16"/>
        </w:rPr>
      </w:pPr>
    </w:p>
    <w:p w14:paraId="2836669F" w14:textId="77777777" w:rsidR="00A92391" w:rsidRPr="00A92391" w:rsidRDefault="00A92391" w:rsidP="00A92391">
      <w:pPr>
        <w:spacing w:line="247" w:lineRule="auto"/>
        <w:ind w:right="206"/>
        <w:rPr>
          <w:rFonts w:ascii="Arial" w:eastAsia="Trebuchet MS" w:hAnsi="Arial" w:cs="Arial"/>
        </w:rPr>
      </w:pPr>
      <w:r>
        <w:rPr>
          <w:rFonts w:ascii="Arial" w:hAnsi="Arial" w:cs="Arial"/>
          <w:sz w:val="16"/>
        </w:rPr>
        <w:lastRenderedPageBreak/>
        <w:t>Table</w:t>
      </w:r>
      <w:r w:rsidRPr="00E9375F">
        <w:rPr>
          <w:rFonts w:ascii="Arial" w:hAnsi="Arial" w:cs="Arial"/>
          <w:sz w:val="16"/>
        </w:rPr>
        <w:t xml:space="preserve"> </w:t>
      </w:r>
      <w:r>
        <w:rPr>
          <w:rFonts w:ascii="Arial" w:hAnsi="Arial" w:cs="Arial"/>
          <w:sz w:val="16"/>
        </w:rPr>
        <w:t>2</w:t>
      </w:r>
      <w:r w:rsidRPr="00E9375F">
        <w:rPr>
          <w:rFonts w:ascii="Arial" w:hAnsi="Arial" w:cs="Arial"/>
          <w:sz w:val="16"/>
        </w:rPr>
        <w:t xml:space="preserve">: </w:t>
      </w:r>
      <w:r>
        <w:rPr>
          <w:rFonts w:ascii="Arial" w:hAnsi="Arial" w:cs="Arial"/>
          <w:sz w:val="16"/>
        </w:rPr>
        <w:t>Fusion junction</w:t>
      </w:r>
      <w:r w:rsidRPr="00B712AB">
        <w:rPr>
          <w:rFonts w:ascii="Arial" w:hAnsi="Arial" w:cs="Arial"/>
          <w:sz w:val="16"/>
        </w:rPr>
        <w:t xml:space="preserve"> probes provided in the </w:t>
      </w:r>
      <w:r w:rsidR="00D270DA">
        <w:rPr>
          <w:rFonts w:ascii="Arial" w:hAnsi="Arial" w:cs="Arial"/>
          <w:sz w:val="16"/>
        </w:rPr>
        <w:br/>
      </w:r>
      <w:r w:rsidRPr="00B712AB">
        <w:rPr>
          <w:rFonts w:ascii="Arial" w:hAnsi="Arial" w:cs="Arial"/>
          <w:sz w:val="16"/>
        </w:rPr>
        <w:t>HTG EdgeSeq ALK</w:t>
      </w:r>
      <w:r w:rsidRPr="003A1359">
        <w:rPr>
          <w:rFonts w:ascii="Arial" w:hAnsi="Arial" w:cs="Arial"/>
          <w:i/>
          <w:sz w:val="16"/>
        </w:rPr>
        <w:t>Plus</w:t>
      </w:r>
      <w:r w:rsidRPr="00B712AB">
        <w:rPr>
          <w:rFonts w:ascii="Arial" w:hAnsi="Arial" w:cs="Arial"/>
          <w:sz w:val="16"/>
        </w:rPr>
        <w:t xml:space="preserve"> Assay</w:t>
      </w:r>
      <w:r>
        <w:rPr>
          <w:rFonts w:ascii="Arial" w:hAnsi="Arial" w:cs="Arial"/>
          <w:sz w:val="16"/>
        </w:rPr>
        <w:t xml:space="preserve"> EU</w:t>
      </w:r>
      <w:r w:rsidRPr="00B712AB">
        <w:rPr>
          <w:rFonts w:ascii="Arial" w:hAnsi="Arial" w:cs="Arial"/>
          <w:sz w:val="16"/>
        </w:rPr>
        <w:t>.</w:t>
      </w:r>
    </w:p>
    <w:p w14:paraId="4A0BB528" w14:textId="77777777" w:rsidR="00A92391" w:rsidRDefault="00A92391" w:rsidP="00A92391">
      <w:pPr>
        <w:spacing w:line="247" w:lineRule="auto"/>
        <w:ind w:right="206" w:firstLine="5"/>
        <w:rPr>
          <w:rFonts w:ascii="Arial" w:hAnsi="Arial" w:cs="Arial"/>
          <w:sz w:val="16"/>
        </w:rPr>
      </w:pPr>
      <w:r w:rsidRPr="009F65F2">
        <w:rPr>
          <w:rFonts w:ascii="Arial" w:hAnsi="Arial" w:cs="Arial"/>
          <w:b/>
          <w:noProof/>
          <w:sz w:val="20"/>
        </w:rPr>
        <w:drawing>
          <wp:inline distT="0" distB="0" distL="0" distR="0" wp14:anchorId="00D2D4A6" wp14:editId="33348845">
            <wp:extent cx="2743200" cy="1728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1728903"/>
                    </a:xfrm>
                    <a:prstGeom prst="rect">
                      <a:avLst/>
                    </a:prstGeom>
                  </pic:spPr>
                </pic:pic>
              </a:graphicData>
            </a:graphic>
          </wp:inline>
        </w:drawing>
      </w:r>
    </w:p>
    <w:p w14:paraId="3E319FBD" w14:textId="77777777" w:rsidR="006817C7" w:rsidRDefault="006817C7" w:rsidP="00A92391">
      <w:pPr>
        <w:spacing w:line="247" w:lineRule="auto"/>
        <w:ind w:right="206" w:firstLine="5"/>
        <w:rPr>
          <w:rFonts w:ascii="Arial" w:hAnsi="Arial" w:cs="Arial"/>
          <w:sz w:val="16"/>
        </w:rPr>
      </w:pPr>
    </w:p>
    <w:p w14:paraId="10C9F832" w14:textId="77777777" w:rsidR="006817C7" w:rsidRPr="00793BAC" w:rsidRDefault="006817C7" w:rsidP="006817C7">
      <w:pPr>
        <w:spacing w:before="68"/>
        <w:ind w:right="206"/>
        <w:outlineLvl w:val="0"/>
        <w:rPr>
          <w:rFonts w:ascii="Arial" w:hAnsi="Arial" w:cs="Arial"/>
          <w:b/>
        </w:rPr>
      </w:pPr>
      <w:r w:rsidRPr="001E3CEE">
        <w:rPr>
          <w:rFonts w:ascii="Arial" w:hAnsi="Arial" w:cs="Arial"/>
          <w:b/>
        </w:rPr>
        <w:t>HER2 Exon 20 Insertion Probes</w:t>
      </w:r>
    </w:p>
    <w:p w14:paraId="2F43442C" w14:textId="77777777" w:rsidR="006817C7" w:rsidRPr="006817C7" w:rsidRDefault="006817C7" w:rsidP="006817C7">
      <w:pPr>
        <w:ind w:right="202"/>
        <w:rPr>
          <w:rFonts w:ascii="Arial" w:hAnsi="Arial" w:cs="Arial"/>
          <w:sz w:val="18"/>
          <w:szCs w:val="19"/>
        </w:rPr>
      </w:pPr>
      <w:r w:rsidRPr="006817C7">
        <w:rPr>
          <w:rFonts w:ascii="Arial" w:hAnsi="Arial" w:cs="Arial"/>
          <w:sz w:val="18"/>
          <w:szCs w:val="19"/>
        </w:rPr>
        <w:t>Activating insertions into exon 20 of the ERBB2 (HER2) gene have been reported in several sources. Probes specific to the most commonly reported insertions are included in the assay and are designed to measure the presence of these sequences.</w:t>
      </w:r>
    </w:p>
    <w:p w14:paraId="429B13B1" w14:textId="77777777" w:rsidR="006817C7" w:rsidRDefault="006817C7" w:rsidP="006817C7">
      <w:pPr>
        <w:ind w:right="202"/>
        <w:rPr>
          <w:rFonts w:ascii="Arial" w:hAnsi="Arial" w:cs="Arial"/>
          <w:sz w:val="19"/>
          <w:szCs w:val="19"/>
        </w:rPr>
      </w:pPr>
    </w:p>
    <w:p w14:paraId="524F409F" w14:textId="77777777" w:rsidR="006817C7" w:rsidRPr="006817C7" w:rsidRDefault="006817C7" w:rsidP="006817C7">
      <w:pPr>
        <w:ind w:right="202"/>
        <w:rPr>
          <w:rFonts w:ascii="Arial" w:hAnsi="Arial" w:cs="Arial"/>
          <w:sz w:val="19"/>
          <w:szCs w:val="19"/>
        </w:rPr>
      </w:pPr>
      <w:r>
        <w:rPr>
          <w:rFonts w:ascii="Arial" w:hAnsi="Arial" w:cs="Arial"/>
          <w:sz w:val="16"/>
        </w:rPr>
        <w:t>Table</w:t>
      </w:r>
      <w:r w:rsidRPr="00E9375F">
        <w:rPr>
          <w:rFonts w:ascii="Arial" w:hAnsi="Arial" w:cs="Arial"/>
          <w:sz w:val="16"/>
        </w:rPr>
        <w:t xml:space="preserve"> </w:t>
      </w:r>
      <w:r>
        <w:rPr>
          <w:rFonts w:ascii="Arial" w:hAnsi="Arial" w:cs="Arial"/>
          <w:sz w:val="16"/>
        </w:rPr>
        <w:t>3</w:t>
      </w:r>
      <w:r w:rsidRPr="00E9375F">
        <w:rPr>
          <w:rFonts w:ascii="Arial" w:hAnsi="Arial" w:cs="Arial"/>
          <w:sz w:val="16"/>
        </w:rPr>
        <w:t xml:space="preserve">: </w:t>
      </w:r>
      <w:r>
        <w:rPr>
          <w:rFonts w:ascii="Arial" w:hAnsi="Arial" w:cs="Arial"/>
          <w:sz w:val="16"/>
        </w:rPr>
        <w:t>HER2 Exon 20 insertion</w:t>
      </w:r>
      <w:r w:rsidRPr="00B712AB">
        <w:rPr>
          <w:rFonts w:ascii="Arial" w:hAnsi="Arial" w:cs="Arial"/>
          <w:sz w:val="16"/>
        </w:rPr>
        <w:t xml:space="preserve"> probes provided in the HTG EdgeSeq ALK</w:t>
      </w:r>
      <w:r w:rsidRPr="004062AA">
        <w:rPr>
          <w:rFonts w:ascii="Arial" w:hAnsi="Arial" w:cs="Arial"/>
          <w:i/>
          <w:sz w:val="16"/>
        </w:rPr>
        <w:t>Plus</w:t>
      </w:r>
      <w:r w:rsidRPr="00B712AB">
        <w:rPr>
          <w:rFonts w:ascii="Arial" w:hAnsi="Arial" w:cs="Arial"/>
          <w:sz w:val="16"/>
        </w:rPr>
        <w:t xml:space="preserve"> Assay</w:t>
      </w:r>
      <w:r>
        <w:rPr>
          <w:rFonts w:ascii="Arial" w:hAnsi="Arial" w:cs="Arial"/>
          <w:sz w:val="16"/>
        </w:rPr>
        <w:t xml:space="preserve"> EU</w:t>
      </w:r>
      <w:r w:rsidRPr="00B712AB">
        <w:rPr>
          <w:rFonts w:ascii="Arial" w:hAnsi="Arial" w:cs="Arial"/>
          <w:sz w:val="16"/>
        </w:rPr>
        <w:t>.</w:t>
      </w:r>
    </w:p>
    <w:p w14:paraId="456EED00" w14:textId="77777777" w:rsidR="006817C7" w:rsidRDefault="006817C7" w:rsidP="006817C7">
      <w:pPr>
        <w:spacing w:line="247" w:lineRule="auto"/>
        <w:ind w:right="206" w:firstLine="5"/>
        <w:rPr>
          <w:rFonts w:ascii="Arial" w:hAnsi="Arial" w:cs="Arial"/>
          <w:sz w:val="16"/>
        </w:rPr>
      </w:pPr>
      <w:r w:rsidRPr="00B4135C">
        <w:rPr>
          <w:rFonts w:ascii="Arial" w:hAnsi="Arial" w:cs="Arial"/>
          <w:b/>
          <w:noProof/>
        </w:rPr>
        <w:drawing>
          <wp:inline distT="0" distB="0" distL="0" distR="0" wp14:anchorId="015CA01B" wp14:editId="5976CD0A">
            <wp:extent cx="2743200" cy="8964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3200" cy="896429"/>
                    </a:xfrm>
                    <a:prstGeom prst="rect">
                      <a:avLst/>
                    </a:prstGeom>
                  </pic:spPr>
                </pic:pic>
              </a:graphicData>
            </a:graphic>
          </wp:inline>
        </w:drawing>
      </w:r>
    </w:p>
    <w:p w14:paraId="4B86FFA7" w14:textId="77777777" w:rsidR="006817C7" w:rsidRDefault="006817C7" w:rsidP="006817C7">
      <w:pPr>
        <w:spacing w:line="247" w:lineRule="auto"/>
        <w:ind w:right="206" w:firstLine="5"/>
        <w:rPr>
          <w:rFonts w:ascii="Arial" w:hAnsi="Arial" w:cs="Arial"/>
          <w:sz w:val="16"/>
        </w:rPr>
      </w:pPr>
    </w:p>
    <w:p w14:paraId="150A7DAA" w14:textId="77777777" w:rsidR="006817C7" w:rsidRDefault="006817C7" w:rsidP="006817C7">
      <w:pPr>
        <w:spacing w:before="68"/>
        <w:ind w:right="206"/>
        <w:outlineLvl w:val="0"/>
        <w:rPr>
          <w:rFonts w:ascii="Arial" w:hAnsi="Arial" w:cs="Arial"/>
          <w:b/>
        </w:rPr>
      </w:pPr>
      <w:r w:rsidRPr="001E3CEE">
        <w:rPr>
          <w:rFonts w:ascii="Arial" w:hAnsi="Arial" w:cs="Arial"/>
          <w:b/>
        </w:rPr>
        <w:t>Miscellaneous Probes</w:t>
      </w:r>
    </w:p>
    <w:p w14:paraId="4E83ADFC" w14:textId="77777777" w:rsidR="006817C7" w:rsidRPr="006817C7" w:rsidRDefault="006817C7" w:rsidP="006817C7">
      <w:pPr>
        <w:ind w:right="202"/>
        <w:rPr>
          <w:rFonts w:ascii="Arial" w:hAnsi="Arial" w:cs="Arial"/>
          <w:sz w:val="18"/>
          <w:szCs w:val="19"/>
        </w:rPr>
      </w:pPr>
      <w:r w:rsidRPr="006817C7">
        <w:rPr>
          <w:rFonts w:ascii="Arial" w:hAnsi="Arial" w:cs="Arial"/>
          <w:sz w:val="18"/>
          <w:szCs w:val="19"/>
        </w:rPr>
        <w:t xml:space="preserve">The </w:t>
      </w:r>
      <w:r w:rsidR="00921C94">
        <w:rPr>
          <w:rFonts w:ascii="Arial" w:hAnsi="Arial" w:cs="Arial"/>
          <w:sz w:val="18"/>
          <w:szCs w:val="19"/>
        </w:rPr>
        <w:t>Assay</w:t>
      </w:r>
      <w:r w:rsidRPr="006817C7">
        <w:rPr>
          <w:rFonts w:ascii="Arial" w:hAnsi="Arial" w:cs="Arial"/>
          <w:sz w:val="18"/>
          <w:szCs w:val="19"/>
        </w:rPr>
        <w:t xml:space="preserve"> </w:t>
      </w:r>
      <w:r w:rsidR="00D270DA">
        <w:rPr>
          <w:rFonts w:ascii="Arial" w:hAnsi="Arial" w:cs="Arial"/>
          <w:sz w:val="18"/>
          <w:szCs w:val="19"/>
        </w:rPr>
        <w:t xml:space="preserve">also </w:t>
      </w:r>
      <w:r w:rsidRPr="006817C7">
        <w:rPr>
          <w:rFonts w:ascii="Arial" w:hAnsi="Arial" w:cs="Arial"/>
          <w:sz w:val="18"/>
          <w:szCs w:val="19"/>
        </w:rPr>
        <w:t>contains a selection of probes that target the transcripts of common immunohistochemistry markers. The expression patterns of these genes may provide additional insight to the biology of these tumors.</w:t>
      </w:r>
    </w:p>
    <w:p w14:paraId="2CB68479" w14:textId="77777777" w:rsidR="006817C7" w:rsidRDefault="006817C7" w:rsidP="006817C7">
      <w:pPr>
        <w:spacing w:line="247" w:lineRule="auto"/>
        <w:ind w:right="206" w:firstLine="5"/>
        <w:rPr>
          <w:rFonts w:ascii="Arial" w:hAnsi="Arial" w:cs="Arial"/>
          <w:sz w:val="16"/>
        </w:rPr>
      </w:pPr>
    </w:p>
    <w:p w14:paraId="7104ED52" w14:textId="77777777" w:rsidR="006817C7" w:rsidRPr="000C6B61" w:rsidRDefault="006817C7" w:rsidP="000C6B61">
      <w:pPr>
        <w:ind w:right="101"/>
        <w:rPr>
          <w:rFonts w:ascii="Arial" w:hAnsi="Arial" w:cs="Arial"/>
        </w:rPr>
      </w:pPr>
      <w:r>
        <w:rPr>
          <w:rFonts w:ascii="Arial" w:hAnsi="Arial" w:cs="Arial"/>
          <w:sz w:val="16"/>
        </w:rPr>
        <w:t>Table</w:t>
      </w:r>
      <w:r w:rsidRPr="00E9375F">
        <w:rPr>
          <w:rFonts w:ascii="Arial" w:hAnsi="Arial" w:cs="Arial"/>
          <w:sz w:val="16"/>
        </w:rPr>
        <w:t xml:space="preserve"> </w:t>
      </w:r>
      <w:r>
        <w:rPr>
          <w:rFonts w:ascii="Arial" w:hAnsi="Arial" w:cs="Arial"/>
          <w:sz w:val="16"/>
        </w:rPr>
        <w:t>4</w:t>
      </w:r>
      <w:r w:rsidRPr="00E9375F">
        <w:rPr>
          <w:rFonts w:ascii="Arial" w:hAnsi="Arial" w:cs="Arial"/>
          <w:sz w:val="16"/>
        </w:rPr>
        <w:t xml:space="preserve">: </w:t>
      </w:r>
      <w:r>
        <w:rPr>
          <w:rFonts w:ascii="Arial" w:hAnsi="Arial" w:cs="Arial"/>
          <w:sz w:val="16"/>
        </w:rPr>
        <w:t>Miscellaneous</w:t>
      </w:r>
      <w:r w:rsidRPr="00B712AB">
        <w:rPr>
          <w:rFonts w:ascii="Arial" w:hAnsi="Arial" w:cs="Arial"/>
          <w:sz w:val="16"/>
        </w:rPr>
        <w:t xml:space="preserve"> probes provided in the </w:t>
      </w:r>
      <w:r w:rsidR="00D270DA">
        <w:rPr>
          <w:rFonts w:ascii="Arial" w:hAnsi="Arial" w:cs="Arial"/>
          <w:sz w:val="16"/>
        </w:rPr>
        <w:br/>
      </w:r>
      <w:r w:rsidRPr="00B712AB">
        <w:rPr>
          <w:rFonts w:ascii="Arial" w:hAnsi="Arial" w:cs="Arial"/>
          <w:sz w:val="16"/>
        </w:rPr>
        <w:t>HTG EdgeSeq ALK</w:t>
      </w:r>
      <w:r w:rsidRPr="003A1359">
        <w:rPr>
          <w:rFonts w:ascii="Arial" w:hAnsi="Arial" w:cs="Arial"/>
          <w:i/>
          <w:sz w:val="16"/>
        </w:rPr>
        <w:t>Plus</w:t>
      </w:r>
      <w:r w:rsidRPr="00B712AB">
        <w:rPr>
          <w:rFonts w:ascii="Arial" w:hAnsi="Arial" w:cs="Arial"/>
          <w:sz w:val="16"/>
        </w:rPr>
        <w:t xml:space="preserve"> Assay</w:t>
      </w:r>
      <w:r>
        <w:rPr>
          <w:rFonts w:ascii="Arial" w:hAnsi="Arial" w:cs="Arial"/>
          <w:sz w:val="16"/>
        </w:rPr>
        <w:t xml:space="preserve"> EU</w:t>
      </w:r>
      <w:r w:rsidRPr="00B712AB">
        <w:rPr>
          <w:rFonts w:ascii="Arial" w:hAnsi="Arial" w:cs="Arial"/>
          <w:sz w:val="16"/>
        </w:rPr>
        <w:t>.</w:t>
      </w:r>
    </w:p>
    <w:p w14:paraId="65115B0C" w14:textId="77777777" w:rsidR="000C6B61" w:rsidRDefault="000C6B61" w:rsidP="006817C7">
      <w:pPr>
        <w:spacing w:line="247" w:lineRule="auto"/>
        <w:ind w:right="206" w:firstLine="5"/>
        <w:rPr>
          <w:rFonts w:ascii="Arial" w:hAnsi="Arial" w:cs="Arial"/>
          <w:sz w:val="16"/>
        </w:rPr>
      </w:pPr>
      <w:r w:rsidRPr="003A1359">
        <w:rPr>
          <w:rFonts w:ascii="Arial" w:hAnsi="Arial" w:cs="Arial"/>
          <w:noProof/>
        </w:rPr>
        <w:drawing>
          <wp:inline distT="0" distB="0" distL="0" distR="0" wp14:anchorId="3DA4D4AF" wp14:editId="77801550">
            <wp:extent cx="2743200" cy="97624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3200" cy="976241"/>
                    </a:xfrm>
                    <a:prstGeom prst="rect">
                      <a:avLst/>
                    </a:prstGeom>
                  </pic:spPr>
                </pic:pic>
              </a:graphicData>
            </a:graphic>
          </wp:inline>
        </w:drawing>
      </w:r>
    </w:p>
    <w:p w14:paraId="65DEC9BA" w14:textId="77777777" w:rsidR="00EF3F46" w:rsidRDefault="00EF3F46" w:rsidP="006817C7">
      <w:pPr>
        <w:spacing w:line="247" w:lineRule="auto"/>
        <w:ind w:right="206" w:firstLine="5"/>
        <w:rPr>
          <w:rFonts w:ascii="Arial" w:hAnsi="Arial" w:cs="Arial"/>
          <w:sz w:val="16"/>
        </w:rPr>
      </w:pPr>
    </w:p>
    <w:p w14:paraId="2EEDD3C4" w14:textId="77777777" w:rsidR="00EF3F46" w:rsidRDefault="00EF3F46" w:rsidP="00EF3F46">
      <w:pPr>
        <w:spacing w:before="68"/>
        <w:ind w:right="206"/>
        <w:outlineLvl w:val="0"/>
        <w:rPr>
          <w:rFonts w:ascii="Arial" w:hAnsi="Arial" w:cs="Arial"/>
          <w:b/>
        </w:rPr>
      </w:pPr>
      <w:r w:rsidRPr="001E3CEE">
        <w:rPr>
          <w:rFonts w:ascii="Arial" w:hAnsi="Arial" w:cs="Arial"/>
          <w:b/>
        </w:rPr>
        <w:t>Process Control Probes</w:t>
      </w:r>
    </w:p>
    <w:p w14:paraId="74E1CEF5" w14:textId="77777777" w:rsidR="00EF3F46" w:rsidRPr="00EF3F46" w:rsidRDefault="00EF3F46" w:rsidP="00EF3F46">
      <w:pPr>
        <w:ind w:right="202"/>
        <w:rPr>
          <w:rFonts w:ascii="Arial" w:hAnsi="Arial" w:cs="Arial"/>
          <w:sz w:val="18"/>
          <w:szCs w:val="19"/>
        </w:rPr>
      </w:pPr>
      <w:r w:rsidRPr="00EF3F46">
        <w:rPr>
          <w:rFonts w:ascii="Arial" w:hAnsi="Arial" w:cs="Arial"/>
          <w:sz w:val="18"/>
          <w:szCs w:val="19"/>
        </w:rPr>
        <w:t xml:space="preserve">The </w:t>
      </w:r>
      <w:r w:rsidR="00921C94">
        <w:rPr>
          <w:rFonts w:ascii="Arial" w:hAnsi="Arial" w:cs="Arial"/>
          <w:sz w:val="18"/>
          <w:szCs w:val="19"/>
        </w:rPr>
        <w:t>Assay</w:t>
      </w:r>
      <w:r w:rsidRPr="00EF3F46">
        <w:rPr>
          <w:rFonts w:ascii="Arial" w:hAnsi="Arial" w:cs="Arial"/>
          <w:sz w:val="18"/>
          <w:szCs w:val="19"/>
        </w:rPr>
        <w:t xml:space="preserve"> contains several sets of potentially useful process control probes as outlined below. </w:t>
      </w:r>
    </w:p>
    <w:p w14:paraId="15CD7528" w14:textId="77777777" w:rsidR="00EF3F46" w:rsidRDefault="00EF3F46" w:rsidP="00EF3F46">
      <w:pPr>
        <w:ind w:right="202"/>
        <w:rPr>
          <w:rFonts w:ascii="Arial" w:hAnsi="Arial" w:cs="Arial"/>
        </w:rPr>
      </w:pPr>
    </w:p>
    <w:p w14:paraId="06144598" w14:textId="77777777" w:rsidR="00EF3F46" w:rsidRDefault="00EF3F46" w:rsidP="00EF3F46">
      <w:pPr>
        <w:ind w:right="202"/>
        <w:rPr>
          <w:rFonts w:ascii="Arial" w:hAnsi="Arial" w:cs="Arial"/>
          <w:sz w:val="16"/>
        </w:rPr>
      </w:pPr>
    </w:p>
    <w:p w14:paraId="52BE8553" w14:textId="77777777" w:rsidR="00921C94" w:rsidRDefault="00921C94" w:rsidP="00EF3F46">
      <w:pPr>
        <w:ind w:right="202"/>
        <w:rPr>
          <w:rFonts w:ascii="Arial" w:hAnsi="Arial" w:cs="Arial"/>
          <w:sz w:val="16"/>
        </w:rPr>
      </w:pPr>
    </w:p>
    <w:p w14:paraId="720DA853" w14:textId="77777777" w:rsidR="008F75A1" w:rsidRDefault="008F75A1" w:rsidP="00EF3F46">
      <w:pPr>
        <w:ind w:right="202"/>
        <w:rPr>
          <w:rFonts w:ascii="Arial" w:hAnsi="Arial" w:cs="Arial"/>
          <w:sz w:val="16"/>
        </w:rPr>
      </w:pPr>
    </w:p>
    <w:p w14:paraId="10FF7CEE" w14:textId="77777777" w:rsidR="008F75A1" w:rsidRDefault="008F75A1" w:rsidP="00EF3F46">
      <w:pPr>
        <w:ind w:right="202"/>
        <w:rPr>
          <w:rFonts w:ascii="Arial" w:hAnsi="Arial" w:cs="Arial"/>
          <w:sz w:val="16"/>
        </w:rPr>
      </w:pPr>
    </w:p>
    <w:p w14:paraId="346864D8" w14:textId="77777777" w:rsidR="00921C94" w:rsidRDefault="00921C94" w:rsidP="00EF3F46">
      <w:pPr>
        <w:ind w:right="202"/>
        <w:rPr>
          <w:rFonts w:ascii="Arial" w:hAnsi="Arial" w:cs="Arial"/>
          <w:sz w:val="16"/>
        </w:rPr>
      </w:pPr>
    </w:p>
    <w:p w14:paraId="23F176A8" w14:textId="77777777" w:rsidR="00EF3F46" w:rsidRDefault="00EF3F46" w:rsidP="00EF3F46">
      <w:pPr>
        <w:ind w:right="202"/>
        <w:rPr>
          <w:rFonts w:ascii="Arial" w:hAnsi="Arial" w:cs="Arial"/>
        </w:rPr>
      </w:pPr>
      <w:r>
        <w:rPr>
          <w:rFonts w:ascii="Arial" w:hAnsi="Arial" w:cs="Arial"/>
          <w:sz w:val="16"/>
        </w:rPr>
        <w:lastRenderedPageBreak/>
        <w:t>Table</w:t>
      </w:r>
      <w:r w:rsidRPr="00E9375F">
        <w:rPr>
          <w:rFonts w:ascii="Arial" w:hAnsi="Arial" w:cs="Arial"/>
          <w:sz w:val="16"/>
        </w:rPr>
        <w:t xml:space="preserve"> </w:t>
      </w:r>
      <w:r>
        <w:rPr>
          <w:rFonts w:ascii="Arial" w:hAnsi="Arial" w:cs="Arial"/>
          <w:sz w:val="16"/>
        </w:rPr>
        <w:t>5</w:t>
      </w:r>
      <w:r w:rsidRPr="00E9375F">
        <w:rPr>
          <w:rFonts w:ascii="Arial" w:hAnsi="Arial" w:cs="Arial"/>
          <w:sz w:val="16"/>
        </w:rPr>
        <w:t xml:space="preserve">: </w:t>
      </w:r>
      <w:r>
        <w:rPr>
          <w:rFonts w:ascii="Arial" w:hAnsi="Arial" w:cs="Arial"/>
          <w:sz w:val="16"/>
        </w:rPr>
        <w:t>Process control</w:t>
      </w:r>
      <w:r w:rsidRPr="00B712AB">
        <w:rPr>
          <w:rFonts w:ascii="Arial" w:hAnsi="Arial" w:cs="Arial"/>
          <w:sz w:val="16"/>
        </w:rPr>
        <w:t xml:space="preserve"> probes provided in the </w:t>
      </w:r>
      <w:r w:rsidR="00D270DA">
        <w:rPr>
          <w:rFonts w:ascii="Arial" w:hAnsi="Arial" w:cs="Arial"/>
          <w:sz w:val="16"/>
        </w:rPr>
        <w:br/>
      </w:r>
      <w:r w:rsidRPr="00B712AB">
        <w:rPr>
          <w:rFonts w:ascii="Arial" w:hAnsi="Arial" w:cs="Arial"/>
          <w:sz w:val="16"/>
        </w:rPr>
        <w:t>HTG EdgeSeq ALK</w:t>
      </w:r>
      <w:r w:rsidRPr="003A1359">
        <w:rPr>
          <w:rFonts w:ascii="Arial" w:hAnsi="Arial" w:cs="Arial"/>
          <w:i/>
          <w:sz w:val="16"/>
        </w:rPr>
        <w:t>Plus</w:t>
      </w:r>
      <w:r w:rsidRPr="00B712AB">
        <w:rPr>
          <w:rFonts w:ascii="Arial" w:hAnsi="Arial" w:cs="Arial"/>
          <w:sz w:val="16"/>
        </w:rPr>
        <w:t xml:space="preserve"> Assay</w:t>
      </w:r>
      <w:r>
        <w:rPr>
          <w:rFonts w:ascii="Arial" w:hAnsi="Arial" w:cs="Arial"/>
          <w:sz w:val="16"/>
        </w:rPr>
        <w:t xml:space="preserve"> EU</w:t>
      </w:r>
      <w:r w:rsidRPr="00B712AB">
        <w:rPr>
          <w:rFonts w:ascii="Arial" w:hAnsi="Arial" w:cs="Arial"/>
          <w:sz w:val="16"/>
        </w:rPr>
        <w:t>.</w:t>
      </w:r>
      <w:r w:rsidRPr="00673EA1">
        <w:t xml:space="preserve"> </w:t>
      </w:r>
      <w:r>
        <w:t xml:space="preserve"> </w:t>
      </w:r>
    </w:p>
    <w:p w14:paraId="0161C9C0" w14:textId="77777777" w:rsidR="00EF3F46" w:rsidRDefault="00EF3F46" w:rsidP="006817C7">
      <w:pPr>
        <w:spacing w:line="247" w:lineRule="auto"/>
        <w:ind w:right="206" w:firstLine="5"/>
        <w:rPr>
          <w:rFonts w:ascii="Arial" w:hAnsi="Arial" w:cs="Arial"/>
          <w:sz w:val="16"/>
        </w:rPr>
      </w:pPr>
      <w:r w:rsidRPr="009E5812">
        <w:rPr>
          <w:rFonts w:ascii="Arial" w:hAnsi="Arial" w:cs="Arial"/>
          <w:noProof/>
        </w:rPr>
        <w:drawing>
          <wp:inline distT="0" distB="0" distL="0" distR="0" wp14:anchorId="07BE92CE" wp14:editId="35129C50">
            <wp:extent cx="2743200" cy="580353"/>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43200" cy="580353"/>
                    </a:xfrm>
                    <a:prstGeom prst="rect">
                      <a:avLst/>
                    </a:prstGeom>
                  </pic:spPr>
                </pic:pic>
              </a:graphicData>
            </a:graphic>
          </wp:inline>
        </w:drawing>
      </w:r>
    </w:p>
    <w:p w14:paraId="1F857F80" w14:textId="77777777" w:rsidR="00EF3F46" w:rsidRDefault="00EF3F46" w:rsidP="006817C7">
      <w:pPr>
        <w:spacing w:line="247" w:lineRule="auto"/>
        <w:ind w:right="206" w:firstLine="5"/>
        <w:rPr>
          <w:rFonts w:ascii="Arial" w:hAnsi="Arial" w:cs="Arial"/>
          <w:sz w:val="16"/>
        </w:rPr>
      </w:pPr>
    </w:p>
    <w:p w14:paraId="5F79268B" w14:textId="77777777" w:rsidR="00EF3F46" w:rsidRPr="00EF3F46" w:rsidRDefault="00EF3F46" w:rsidP="00EF3F46">
      <w:pPr>
        <w:ind w:left="5" w:right="202"/>
        <w:rPr>
          <w:rFonts w:ascii="Arial" w:hAnsi="Arial" w:cs="Arial"/>
          <w:sz w:val="18"/>
          <w:szCs w:val="19"/>
        </w:rPr>
      </w:pPr>
      <w:r w:rsidRPr="00EF3F46">
        <w:rPr>
          <w:rFonts w:ascii="Arial" w:hAnsi="Arial" w:cs="Arial"/>
          <w:sz w:val="18"/>
          <w:szCs w:val="19"/>
        </w:rPr>
        <w:t xml:space="preserve">The ANT series of probes target the AINTEGUMENTA gene found in Arabidopsis. The ER- series of probes correspond to specific transcripts within the ERCC RNA spike-in mix available for purchase separately from ThermoFisher Scientific (P/N 4456740). </w:t>
      </w:r>
    </w:p>
    <w:p w14:paraId="45C88E0E" w14:textId="77777777" w:rsidR="00EF3F46" w:rsidRPr="00EF3F46" w:rsidRDefault="00EF3F46" w:rsidP="00EF3F46">
      <w:pPr>
        <w:ind w:left="5" w:right="202"/>
        <w:rPr>
          <w:rFonts w:ascii="Arial" w:hAnsi="Arial" w:cs="Arial"/>
          <w:sz w:val="18"/>
          <w:szCs w:val="19"/>
        </w:rPr>
      </w:pPr>
    </w:p>
    <w:p w14:paraId="39FE924B" w14:textId="77777777" w:rsidR="00EF3F46" w:rsidRPr="00093F02" w:rsidRDefault="00EF3F46" w:rsidP="00EF3F46">
      <w:pPr>
        <w:ind w:left="5" w:right="202"/>
        <w:rPr>
          <w:rFonts w:ascii="Arial" w:hAnsi="Arial" w:cs="Arial"/>
          <w:sz w:val="19"/>
          <w:szCs w:val="19"/>
        </w:rPr>
      </w:pPr>
      <w:r w:rsidRPr="00EF3F46">
        <w:rPr>
          <w:rFonts w:ascii="Arial" w:hAnsi="Arial" w:cs="Arial"/>
          <w:sz w:val="18"/>
          <w:szCs w:val="19"/>
        </w:rPr>
        <w:t>Four positive process control probes (POS1 – POS4) are provided with complementary sequences in the probe mixture. These probes will be protected during the assay processing step and should be present in the sequencing data generated. The signals obtained from these probes will vary due to several factors, therefore, data from these probes should not be used for normalization or other quantitative assessments.</w:t>
      </w:r>
    </w:p>
    <w:p w14:paraId="763F0D9A" w14:textId="77777777" w:rsidR="00EF3F46" w:rsidRPr="00093F02" w:rsidRDefault="00EF3F46" w:rsidP="00EF3F46">
      <w:pPr>
        <w:ind w:left="5" w:right="202"/>
        <w:rPr>
          <w:rFonts w:ascii="Arial" w:hAnsi="Arial" w:cs="Arial"/>
          <w:sz w:val="19"/>
          <w:szCs w:val="19"/>
        </w:rPr>
      </w:pPr>
    </w:p>
    <w:p w14:paraId="6BF9BC49" w14:textId="77777777" w:rsidR="00EF3F46" w:rsidRDefault="00EF3F46" w:rsidP="00EF3F46">
      <w:pPr>
        <w:spacing w:before="68"/>
        <w:ind w:right="206"/>
        <w:outlineLvl w:val="0"/>
        <w:rPr>
          <w:rFonts w:ascii="Arial" w:hAnsi="Arial" w:cs="Arial"/>
          <w:b/>
        </w:rPr>
      </w:pPr>
      <w:r w:rsidRPr="00E9375F">
        <w:rPr>
          <w:rFonts w:ascii="Arial" w:hAnsi="Arial" w:cs="Arial"/>
          <w:b/>
        </w:rPr>
        <w:t>C</w:t>
      </w:r>
      <w:r>
        <w:rPr>
          <w:rFonts w:ascii="Arial" w:hAnsi="Arial" w:cs="Arial"/>
          <w:b/>
        </w:rPr>
        <w:t>onclusion</w:t>
      </w:r>
    </w:p>
    <w:p w14:paraId="66B939B9" w14:textId="77777777" w:rsidR="00EF3F46" w:rsidRPr="00093F02" w:rsidRDefault="00EF3F46" w:rsidP="00EF3F46">
      <w:pPr>
        <w:pStyle w:val="BodyText"/>
        <w:ind w:left="0" w:right="212"/>
        <w:rPr>
          <w:rFonts w:ascii="Arial" w:hAnsi="Arial" w:cs="Arial"/>
          <w:sz w:val="19"/>
          <w:szCs w:val="19"/>
        </w:rPr>
      </w:pPr>
      <w:bookmarkStart w:id="1" w:name="_Hlk480375386"/>
      <w:r w:rsidRPr="00EF3F46">
        <w:rPr>
          <w:rFonts w:ascii="Arial" w:hAnsi="Arial" w:cs="Arial"/>
          <w:sz w:val="18"/>
          <w:szCs w:val="19"/>
        </w:rPr>
        <w:t>The HTG EdgeSeq ALK</w:t>
      </w:r>
      <w:r w:rsidRPr="00EF3F46">
        <w:rPr>
          <w:rFonts w:ascii="Arial" w:hAnsi="Arial" w:cs="Arial"/>
          <w:i/>
          <w:sz w:val="18"/>
          <w:szCs w:val="19"/>
        </w:rPr>
        <w:t>Plus</w:t>
      </w:r>
      <w:r w:rsidRPr="00EF3F46">
        <w:rPr>
          <w:rFonts w:ascii="Arial" w:hAnsi="Arial" w:cs="Arial"/>
          <w:sz w:val="18"/>
          <w:szCs w:val="19"/>
        </w:rPr>
        <w:t xml:space="preserve"> Assay </w:t>
      </w:r>
      <w:r w:rsidR="00D270DA">
        <w:rPr>
          <w:rFonts w:ascii="Arial" w:hAnsi="Arial" w:cs="Arial"/>
          <w:sz w:val="18"/>
          <w:szCs w:val="19"/>
        </w:rPr>
        <w:t>EU provides additional RUO content</w:t>
      </w:r>
      <w:r w:rsidR="00B36007">
        <w:rPr>
          <w:rFonts w:ascii="Arial" w:hAnsi="Arial" w:cs="Arial"/>
          <w:sz w:val="18"/>
          <w:szCs w:val="19"/>
        </w:rPr>
        <w:t>,</w:t>
      </w:r>
      <w:r w:rsidR="00D270DA">
        <w:rPr>
          <w:rFonts w:ascii="Arial" w:hAnsi="Arial" w:cs="Arial"/>
          <w:sz w:val="18"/>
          <w:szCs w:val="19"/>
        </w:rPr>
        <w:t xml:space="preserve"> </w:t>
      </w:r>
      <w:r w:rsidR="00B36007">
        <w:rPr>
          <w:rFonts w:ascii="Arial" w:hAnsi="Arial" w:cs="Arial"/>
          <w:sz w:val="18"/>
          <w:szCs w:val="19"/>
        </w:rPr>
        <w:t xml:space="preserve">including ROS1, RET, and NTRK1 fusion junction probes, </w:t>
      </w:r>
      <w:r w:rsidR="00D270DA">
        <w:rPr>
          <w:rFonts w:ascii="Arial" w:hAnsi="Arial" w:cs="Arial"/>
          <w:sz w:val="18"/>
          <w:szCs w:val="19"/>
        </w:rPr>
        <w:t xml:space="preserve">that may be useful for researchers.  Requiring </w:t>
      </w:r>
      <w:r w:rsidRPr="00EF3F46">
        <w:rPr>
          <w:rFonts w:ascii="Arial" w:hAnsi="Arial" w:cs="Arial"/>
          <w:sz w:val="18"/>
          <w:szCs w:val="19"/>
        </w:rPr>
        <w:t>only a single section of FFPE</w:t>
      </w:r>
      <w:r w:rsidR="00921C94">
        <w:rPr>
          <w:rFonts w:ascii="Arial" w:hAnsi="Arial" w:cs="Arial"/>
          <w:sz w:val="18"/>
          <w:szCs w:val="19"/>
        </w:rPr>
        <w:t xml:space="preserve"> tissue</w:t>
      </w:r>
      <w:r w:rsidRPr="00EF3F46">
        <w:rPr>
          <w:rFonts w:ascii="Arial" w:hAnsi="Arial" w:cs="Arial"/>
          <w:sz w:val="18"/>
          <w:szCs w:val="19"/>
        </w:rPr>
        <w:t xml:space="preserve">, the </w:t>
      </w:r>
      <w:r w:rsidR="00921C94">
        <w:rPr>
          <w:rFonts w:ascii="Arial" w:hAnsi="Arial" w:cs="Arial"/>
          <w:sz w:val="18"/>
          <w:szCs w:val="19"/>
        </w:rPr>
        <w:t>Assay</w:t>
      </w:r>
      <w:r w:rsidR="00D270DA">
        <w:rPr>
          <w:rFonts w:ascii="Arial" w:hAnsi="Arial" w:cs="Arial"/>
          <w:sz w:val="18"/>
          <w:szCs w:val="19"/>
        </w:rPr>
        <w:t xml:space="preserve"> </w:t>
      </w:r>
      <w:r w:rsidR="009F130F">
        <w:rPr>
          <w:rFonts w:ascii="Arial" w:hAnsi="Arial" w:cs="Arial"/>
          <w:sz w:val="18"/>
          <w:szCs w:val="19"/>
        </w:rPr>
        <w:t>is a powerful tool</w:t>
      </w:r>
      <w:r w:rsidR="00D270DA">
        <w:rPr>
          <w:rFonts w:ascii="Arial" w:hAnsi="Arial" w:cs="Arial"/>
          <w:sz w:val="18"/>
          <w:szCs w:val="19"/>
        </w:rPr>
        <w:t xml:space="preserve"> for mutational analysis that</w:t>
      </w:r>
      <w:r w:rsidRPr="00EF3F46">
        <w:rPr>
          <w:rFonts w:ascii="Arial" w:hAnsi="Arial" w:cs="Arial"/>
          <w:sz w:val="18"/>
          <w:szCs w:val="19"/>
        </w:rPr>
        <w:t xml:space="preserve"> preserves limited biopsy tissue for other research testing</w:t>
      </w:r>
      <w:bookmarkEnd w:id="1"/>
      <w:r w:rsidRPr="00EF3F46">
        <w:rPr>
          <w:rFonts w:ascii="Arial" w:hAnsi="Arial" w:cs="Arial"/>
          <w:sz w:val="18"/>
          <w:szCs w:val="19"/>
        </w:rPr>
        <w:t>.</w:t>
      </w:r>
    </w:p>
    <w:p w14:paraId="6AE85C20" w14:textId="77777777" w:rsidR="00EF3F46" w:rsidRDefault="00EF3F46" w:rsidP="006817C7">
      <w:pPr>
        <w:spacing w:line="247" w:lineRule="auto"/>
        <w:ind w:right="206" w:firstLine="5"/>
        <w:rPr>
          <w:rFonts w:ascii="Arial" w:hAnsi="Arial" w:cs="Arial"/>
          <w:sz w:val="16"/>
        </w:rPr>
      </w:pPr>
    </w:p>
    <w:p w14:paraId="6F23235F" w14:textId="77777777" w:rsidR="00EF3F46" w:rsidRDefault="00EF3F46" w:rsidP="00EF3F46">
      <w:pPr>
        <w:pStyle w:val="BodyText"/>
        <w:ind w:left="0" w:right="212"/>
        <w:rPr>
          <w:rStyle w:val="Hyperlink"/>
          <w:rFonts w:ascii="Arial" w:hAnsi="Arial" w:cs="Arial"/>
          <w:sz w:val="18"/>
          <w:szCs w:val="18"/>
        </w:rPr>
      </w:pPr>
      <w:r w:rsidRPr="00EF3F46">
        <w:rPr>
          <w:rFonts w:ascii="Arial" w:hAnsi="Arial" w:cs="Arial"/>
          <w:sz w:val="18"/>
          <w:szCs w:val="18"/>
        </w:rPr>
        <w:t xml:space="preserve">For more information, contact HTG Molecular Diagnostics, Inc. at 1-877-289-2615, </w:t>
      </w:r>
      <w:hyperlink r:id="rId17" w:history="1">
        <w:r w:rsidRPr="00EF3F46">
          <w:rPr>
            <w:rStyle w:val="Hyperlink"/>
            <w:rFonts w:ascii="Arial" w:hAnsi="Arial" w:cs="Arial"/>
            <w:sz w:val="18"/>
            <w:szCs w:val="18"/>
          </w:rPr>
          <w:t>info@htgmolecular.com</w:t>
        </w:r>
      </w:hyperlink>
      <w:r w:rsidRPr="00EF3F46">
        <w:rPr>
          <w:rFonts w:ascii="Arial" w:hAnsi="Arial" w:cs="Arial"/>
          <w:sz w:val="18"/>
          <w:szCs w:val="18"/>
        </w:rPr>
        <w:t xml:space="preserve"> or contact your local HTG representative. Visit </w:t>
      </w:r>
      <w:hyperlink r:id="rId18" w:history="1">
        <w:r w:rsidRPr="00EF3F46">
          <w:rPr>
            <w:rStyle w:val="Hyperlink"/>
            <w:rFonts w:ascii="Arial" w:hAnsi="Arial" w:cs="Arial"/>
            <w:sz w:val="18"/>
            <w:szCs w:val="18"/>
          </w:rPr>
          <w:t>www.htgmolecular.com</w:t>
        </w:r>
      </w:hyperlink>
    </w:p>
    <w:p w14:paraId="3210D525" w14:textId="77777777" w:rsidR="003146B2" w:rsidRDefault="003146B2" w:rsidP="00EF3F46">
      <w:pPr>
        <w:pStyle w:val="BodyText"/>
        <w:ind w:left="0" w:right="212"/>
        <w:rPr>
          <w:rStyle w:val="Hyperlink"/>
          <w:rFonts w:ascii="Arial" w:hAnsi="Arial" w:cs="Arial"/>
          <w:sz w:val="18"/>
          <w:szCs w:val="18"/>
        </w:rPr>
      </w:pPr>
    </w:p>
    <w:p w14:paraId="4ACDB9FE" w14:textId="77777777" w:rsidR="003146B2" w:rsidRPr="00EF3F46" w:rsidRDefault="003146B2" w:rsidP="00EF3F46">
      <w:pPr>
        <w:pStyle w:val="BodyText"/>
        <w:ind w:left="0" w:right="212"/>
        <w:rPr>
          <w:rStyle w:val="Hyperlink"/>
          <w:rFonts w:ascii="Arial" w:hAnsi="Arial" w:cs="Arial"/>
          <w:sz w:val="18"/>
          <w:szCs w:val="18"/>
        </w:rPr>
      </w:pPr>
      <w:r>
        <w:rPr>
          <w:rFonts w:ascii="Arial" w:hAnsi="Arial" w:cs="Arial"/>
          <w:color w:val="000000"/>
          <w:sz w:val="18"/>
          <w:szCs w:val="19"/>
        </w:rPr>
        <w:t xml:space="preserve">The Assay </w:t>
      </w:r>
      <w:r w:rsidRPr="00252EF2">
        <w:rPr>
          <w:rFonts w:ascii="Arial" w:hAnsi="Arial" w:cs="Arial"/>
          <w:color w:val="000000"/>
          <w:sz w:val="18"/>
          <w:szCs w:val="19"/>
        </w:rPr>
        <w:t xml:space="preserve">target sequences </w:t>
      </w:r>
      <w:r>
        <w:rPr>
          <w:rFonts w:ascii="Arial" w:hAnsi="Arial" w:cs="Arial"/>
          <w:color w:val="000000"/>
          <w:sz w:val="18"/>
          <w:szCs w:val="19"/>
        </w:rPr>
        <w:t xml:space="preserve">are available upon request </w:t>
      </w:r>
      <w:r w:rsidRPr="00252EF2">
        <w:rPr>
          <w:rFonts w:ascii="Arial" w:hAnsi="Arial" w:cs="Arial"/>
          <w:color w:val="000000"/>
          <w:sz w:val="18"/>
          <w:szCs w:val="19"/>
        </w:rPr>
        <w:t>(please contract info@htgmolecular.com).</w:t>
      </w:r>
    </w:p>
    <w:p w14:paraId="51651F09" w14:textId="77777777" w:rsidR="00EF3F46" w:rsidRDefault="00EF3F46" w:rsidP="006817C7">
      <w:pPr>
        <w:spacing w:line="247" w:lineRule="auto"/>
        <w:ind w:right="206" w:firstLine="5"/>
        <w:rPr>
          <w:rFonts w:ascii="Arial" w:hAnsi="Arial" w:cs="Arial"/>
          <w:sz w:val="16"/>
        </w:rPr>
      </w:pPr>
    </w:p>
    <w:sectPr w:rsidR="00EF3F46" w:rsidSect="00252EF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94513" w14:textId="77777777" w:rsidR="004C5707" w:rsidRDefault="004C5707" w:rsidP="00252EF2">
      <w:r>
        <w:separator/>
      </w:r>
    </w:p>
  </w:endnote>
  <w:endnote w:type="continuationSeparator" w:id="0">
    <w:p w14:paraId="2F0A0DED" w14:textId="77777777" w:rsidR="004C5707" w:rsidRDefault="004C5707" w:rsidP="0025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6B58" w14:textId="77777777" w:rsidR="008F3DDA" w:rsidRDefault="008F3DDA" w:rsidP="00FA36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7FF852" w14:textId="77777777" w:rsidR="008F3DDA" w:rsidRDefault="008F3DDA" w:rsidP="00FA3626">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921EF" w14:textId="77777777" w:rsidR="00FA3626" w:rsidRDefault="00FA3626" w:rsidP="00FA3626">
    <w:pPr>
      <w:pStyle w:val="Footer"/>
      <w:ind w:left="-540" w:hanging="180"/>
      <w:rPr>
        <w:rFonts w:ascii="Arial" w:hAnsi="Arial" w:cs="Arial"/>
        <w:sz w:val="14"/>
        <w:szCs w:val="14"/>
      </w:rPr>
    </w:pPr>
    <w:r w:rsidRPr="00B712AB">
      <w:rPr>
        <w:rFonts w:ascii="Arial" w:hAnsi="Arial" w:cs="Arial"/>
        <w:sz w:val="14"/>
        <w:szCs w:val="14"/>
      </w:rPr>
      <w:t xml:space="preserve">For Research Use Only.  Not for use in diagnostic procedures. </w:t>
    </w:r>
    <w:r>
      <w:rPr>
        <w:rFonts w:ascii="Arial" w:hAnsi="Arial" w:cs="Arial"/>
        <w:sz w:val="14"/>
        <w:szCs w:val="14"/>
      </w:rPr>
      <w:tab/>
    </w:r>
    <w:r>
      <w:rPr>
        <w:rFonts w:ascii="Arial" w:hAnsi="Arial" w:cs="Arial"/>
        <w:sz w:val="14"/>
        <w:szCs w:val="14"/>
      </w:rPr>
      <w:tab/>
      <w:t>HTG Molecular Diagnostics, Inc.</w:t>
    </w:r>
  </w:p>
  <w:p w14:paraId="0A97BFF2" w14:textId="77777777" w:rsidR="00FA3626" w:rsidRPr="00B712AB" w:rsidRDefault="00FA3626" w:rsidP="00FA3626">
    <w:pPr>
      <w:pStyle w:val="Footer"/>
      <w:ind w:left="-540" w:hanging="180"/>
      <w:rPr>
        <w:rFonts w:ascii="Arial" w:hAnsi="Arial" w:cs="Arial"/>
        <w:sz w:val="14"/>
        <w:szCs w:val="14"/>
      </w:rPr>
    </w:pPr>
    <w:r>
      <w:rPr>
        <w:rFonts w:ascii="Arial" w:hAnsi="Arial" w:cs="Arial"/>
        <w:sz w:val="14"/>
        <w:szCs w:val="14"/>
      </w:rPr>
      <w:t xml:space="preserve">In the U.S. and other applicable jurisdictions, </w:t>
    </w:r>
    <w:r w:rsidRPr="00B712AB">
      <w:rPr>
        <w:rFonts w:ascii="Arial" w:hAnsi="Arial" w:cs="Arial"/>
        <w:sz w:val="14"/>
        <w:szCs w:val="14"/>
      </w:rPr>
      <w:t>HTG EdgeSeq</w:t>
    </w:r>
    <w:r>
      <w:rPr>
        <w:rFonts w:ascii="Arial" w:hAnsi="Arial" w:cs="Arial"/>
        <w:sz w:val="14"/>
        <w:szCs w:val="14"/>
      </w:rPr>
      <w:t xml:space="preserve"> is a </w:t>
    </w:r>
    <w:r w:rsidRPr="00B712AB">
      <w:rPr>
        <w:rFonts w:ascii="Arial" w:hAnsi="Arial" w:cs="Arial"/>
        <w:sz w:val="14"/>
        <w:szCs w:val="14"/>
      </w:rPr>
      <w:t xml:space="preserve">trademark of HTG Molecular Diagnostics, Inc.  </w:t>
    </w:r>
    <w:r>
      <w:rPr>
        <w:rFonts w:ascii="Arial" w:hAnsi="Arial" w:cs="Arial"/>
        <w:sz w:val="14"/>
        <w:szCs w:val="14"/>
      </w:rPr>
      <w:tab/>
      <w:t>3430 E Global Loop, Tucson, AZ 85711</w:t>
    </w:r>
  </w:p>
  <w:p w14:paraId="7AAB4C86" w14:textId="77777777" w:rsidR="00FA3626" w:rsidRPr="008F3DDA" w:rsidRDefault="00FA3626" w:rsidP="00FA3626">
    <w:pPr>
      <w:pStyle w:val="Footer"/>
      <w:framePr w:wrap="none" w:vAnchor="text" w:hAnchor="margin" w:y="1"/>
      <w:ind w:hanging="180"/>
      <w:rPr>
        <w:rStyle w:val="PageNumber"/>
        <w:rFonts w:ascii="Arial" w:hAnsi="Arial" w:cs="Arial"/>
        <w:sz w:val="16"/>
      </w:rPr>
    </w:pPr>
    <w:r w:rsidRPr="008F3DDA">
      <w:rPr>
        <w:rStyle w:val="PageNumber"/>
        <w:rFonts w:ascii="Arial" w:hAnsi="Arial" w:cs="Arial"/>
        <w:sz w:val="16"/>
      </w:rPr>
      <w:fldChar w:fldCharType="begin"/>
    </w:r>
    <w:r w:rsidRPr="008F3DDA">
      <w:rPr>
        <w:rStyle w:val="PageNumber"/>
        <w:rFonts w:ascii="Arial" w:hAnsi="Arial" w:cs="Arial"/>
        <w:sz w:val="16"/>
      </w:rPr>
      <w:instrText xml:space="preserve">PAGE  </w:instrText>
    </w:r>
    <w:r w:rsidRPr="008F3DDA">
      <w:rPr>
        <w:rStyle w:val="PageNumber"/>
        <w:rFonts w:ascii="Arial" w:hAnsi="Arial" w:cs="Arial"/>
        <w:sz w:val="16"/>
      </w:rPr>
      <w:fldChar w:fldCharType="separate"/>
    </w:r>
    <w:r w:rsidR="00C36426">
      <w:rPr>
        <w:rStyle w:val="PageNumber"/>
        <w:rFonts w:ascii="Arial" w:hAnsi="Arial" w:cs="Arial"/>
        <w:noProof/>
        <w:sz w:val="16"/>
      </w:rPr>
      <w:t>2</w:t>
    </w:r>
    <w:r w:rsidRPr="008F3DDA">
      <w:rPr>
        <w:rStyle w:val="PageNumber"/>
        <w:rFonts w:ascii="Arial" w:hAnsi="Arial" w:cs="Arial"/>
        <w:sz w:val="16"/>
      </w:rPr>
      <w:fldChar w:fldCharType="end"/>
    </w:r>
  </w:p>
  <w:p w14:paraId="18A3B7EE" w14:textId="77777777" w:rsidR="00FA3626" w:rsidRPr="006318A8" w:rsidRDefault="00FA3626" w:rsidP="00FA3626">
    <w:pPr>
      <w:pStyle w:val="Footer"/>
      <w:ind w:left="-720"/>
      <w:rPr>
        <w:rFonts w:ascii="Arial" w:hAnsi="Arial" w:cs="Arial"/>
        <w:sz w:val="14"/>
        <w:szCs w:val="14"/>
      </w:rPr>
    </w:pPr>
    <w:r w:rsidRPr="00B712AB">
      <w:rPr>
        <w:rFonts w:ascii="Arial" w:hAnsi="Arial" w:cs="Arial"/>
        <w:sz w:val="14"/>
        <w:szCs w:val="14"/>
      </w:rPr>
      <w:t>Any other trademarks or trade names</w:t>
    </w:r>
    <w:r>
      <w:rPr>
        <w:rFonts w:ascii="Arial" w:hAnsi="Arial" w:cs="Arial"/>
        <w:sz w:val="14"/>
        <w:szCs w:val="14"/>
      </w:rPr>
      <w:t xml:space="preserve"> used herein are the intellectu</w:t>
    </w:r>
    <w:r w:rsidRPr="00B712AB">
      <w:rPr>
        <w:rFonts w:ascii="Arial" w:hAnsi="Arial" w:cs="Arial"/>
        <w:sz w:val="14"/>
        <w:szCs w:val="14"/>
      </w:rPr>
      <w:t>al property of their respective owners.</w:t>
    </w:r>
    <w:r>
      <w:rPr>
        <w:rFonts w:ascii="Arial" w:hAnsi="Arial" w:cs="Arial"/>
        <w:sz w:val="14"/>
        <w:szCs w:val="14"/>
      </w:rPr>
      <w:tab/>
    </w:r>
    <w:hyperlink r:id="rId1" w:history="1">
      <w:r w:rsidRPr="009050AB">
        <w:rPr>
          <w:rStyle w:val="Hyperlink"/>
          <w:rFonts w:ascii="Arial" w:hAnsi="Arial" w:cs="Arial"/>
          <w:sz w:val="14"/>
          <w:szCs w:val="14"/>
        </w:rPr>
        <w:t>www.htgmolecular.com</w:t>
      </w:r>
    </w:hyperlink>
    <w:r>
      <w:rPr>
        <w:rFonts w:ascii="Arial" w:hAnsi="Arial" w:cs="Arial"/>
        <w:sz w:val="14"/>
        <w:szCs w:val="14"/>
      </w:rPr>
      <w:t>, 877-289-2615</w:t>
    </w:r>
    <w:r>
      <w:rPr>
        <w:rFonts w:ascii="Arial" w:hAnsi="Arial" w:cs="Arial"/>
        <w:sz w:val="14"/>
        <w:szCs w:val="14"/>
      </w:rPr>
      <w:br/>
    </w:r>
    <w:r>
      <w:rPr>
        <w:rFonts w:ascii="Arial" w:hAnsi="Arial" w:cs="Arial"/>
        <w:sz w:val="14"/>
        <w:szCs w:val="14"/>
      </w:rPr>
      <w:tab/>
    </w:r>
    <w:r>
      <w:rPr>
        <w:rFonts w:ascii="Arial" w:hAnsi="Arial" w:cs="Arial"/>
        <w:sz w:val="14"/>
        <w:szCs w:val="14"/>
      </w:rPr>
      <w:tab/>
      <w:t>Rev1: 22-APR-2017</w:t>
    </w:r>
  </w:p>
  <w:p w14:paraId="5BD3D3B1" w14:textId="77777777" w:rsidR="006318A8" w:rsidRPr="00FA3626" w:rsidRDefault="00FA3626" w:rsidP="00FA3626">
    <w:pPr>
      <w:pStyle w:val="Footer"/>
      <w:jc w:val="center"/>
      <w:rPr>
        <w:rFonts w:ascii="Arial" w:hAnsi="Arial" w:cs="Arial"/>
        <w:color w:val="000000" w:themeColor="text1"/>
        <w:sz w:val="13"/>
      </w:rPr>
    </w:pPr>
    <w:r w:rsidRPr="00FA3626">
      <w:rPr>
        <w:rFonts w:ascii="Arial" w:hAnsi="Arial" w:cs="Arial"/>
        <w:color w:val="000000" w:themeColor="text1"/>
        <w:sz w:val="13"/>
      </w:rPr>
      <w:t xml:space="preserve">Page </w:t>
    </w:r>
    <w:r w:rsidRPr="00FA3626">
      <w:rPr>
        <w:rFonts w:ascii="Arial" w:hAnsi="Arial" w:cs="Arial"/>
        <w:color w:val="000000" w:themeColor="text1"/>
        <w:sz w:val="13"/>
      </w:rPr>
      <w:fldChar w:fldCharType="begin"/>
    </w:r>
    <w:r w:rsidRPr="00FA3626">
      <w:rPr>
        <w:rFonts w:ascii="Arial" w:hAnsi="Arial" w:cs="Arial"/>
        <w:color w:val="000000" w:themeColor="text1"/>
        <w:sz w:val="13"/>
      </w:rPr>
      <w:instrText xml:space="preserve"> PAGE  \* Arabic  \* MERGEFORMAT </w:instrText>
    </w:r>
    <w:r w:rsidRPr="00FA3626">
      <w:rPr>
        <w:rFonts w:ascii="Arial" w:hAnsi="Arial" w:cs="Arial"/>
        <w:color w:val="000000" w:themeColor="text1"/>
        <w:sz w:val="13"/>
      </w:rPr>
      <w:fldChar w:fldCharType="separate"/>
    </w:r>
    <w:r w:rsidR="00C36426">
      <w:rPr>
        <w:rFonts w:ascii="Arial" w:hAnsi="Arial" w:cs="Arial"/>
        <w:noProof/>
        <w:color w:val="000000" w:themeColor="text1"/>
        <w:sz w:val="13"/>
      </w:rPr>
      <w:t>2</w:t>
    </w:r>
    <w:r w:rsidRPr="00FA3626">
      <w:rPr>
        <w:rFonts w:ascii="Arial" w:hAnsi="Arial" w:cs="Arial"/>
        <w:color w:val="000000" w:themeColor="text1"/>
        <w:sz w:val="13"/>
      </w:rPr>
      <w:fldChar w:fldCharType="end"/>
    </w:r>
    <w:r w:rsidRPr="00FA3626">
      <w:rPr>
        <w:rFonts w:ascii="Arial" w:hAnsi="Arial" w:cs="Arial"/>
        <w:color w:val="000000" w:themeColor="text1"/>
        <w:sz w:val="13"/>
      </w:rPr>
      <w:t xml:space="preserve"> of </w:t>
    </w:r>
    <w:r w:rsidRPr="00FA3626">
      <w:rPr>
        <w:rFonts w:ascii="Arial" w:hAnsi="Arial" w:cs="Arial"/>
        <w:color w:val="000000" w:themeColor="text1"/>
        <w:sz w:val="13"/>
      </w:rPr>
      <w:fldChar w:fldCharType="begin"/>
    </w:r>
    <w:r w:rsidRPr="00FA3626">
      <w:rPr>
        <w:rFonts w:ascii="Arial" w:hAnsi="Arial" w:cs="Arial"/>
        <w:color w:val="000000" w:themeColor="text1"/>
        <w:sz w:val="13"/>
      </w:rPr>
      <w:instrText xml:space="preserve"> NUMPAGES  \* Arabic  \* MERGEFORMAT </w:instrText>
    </w:r>
    <w:r w:rsidRPr="00FA3626">
      <w:rPr>
        <w:rFonts w:ascii="Arial" w:hAnsi="Arial" w:cs="Arial"/>
        <w:color w:val="000000" w:themeColor="text1"/>
        <w:sz w:val="13"/>
      </w:rPr>
      <w:fldChar w:fldCharType="separate"/>
    </w:r>
    <w:r w:rsidR="00C36426">
      <w:rPr>
        <w:rFonts w:ascii="Arial" w:hAnsi="Arial" w:cs="Arial"/>
        <w:noProof/>
        <w:color w:val="000000" w:themeColor="text1"/>
        <w:sz w:val="13"/>
      </w:rPr>
      <w:t>2</w:t>
    </w:r>
    <w:r w:rsidRPr="00FA3626">
      <w:rPr>
        <w:rFonts w:ascii="Arial" w:hAnsi="Arial" w:cs="Arial"/>
        <w:color w:val="000000" w:themeColor="text1"/>
        <w:sz w:val="13"/>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E00FE" w14:textId="77777777" w:rsidR="004C5707" w:rsidRDefault="004C5707" w:rsidP="00252EF2">
      <w:r>
        <w:separator/>
      </w:r>
    </w:p>
  </w:footnote>
  <w:footnote w:type="continuationSeparator" w:id="0">
    <w:p w14:paraId="75B651C0" w14:textId="77777777" w:rsidR="004C5707" w:rsidRDefault="004C5707" w:rsidP="00252EF2">
      <w:r>
        <w:continuationSeparator/>
      </w:r>
    </w:p>
  </w:footnote>
  <w:footnote w:id="1">
    <w:p w14:paraId="0AF5BFBF" w14:textId="77777777" w:rsidR="00252EF2" w:rsidRPr="00A619B2" w:rsidRDefault="00252EF2" w:rsidP="00252EF2">
      <w:pPr>
        <w:pStyle w:val="FootnoteText"/>
        <w:rPr>
          <w:rFonts w:ascii="Arial" w:hAnsi="Arial" w:cs="Arial"/>
          <w:sz w:val="13"/>
          <w:szCs w:val="16"/>
        </w:rPr>
      </w:pPr>
      <w:r w:rsidRPr="00A619B2">
        <w:rPr>
          <w:rStyle w:val="FootnoteReference"/>
          <w:sz w:val="13"/>
          <w:szCs w:val="16"/>
        </w:rPr>
        <w:footnoteRef/>
      </w:r>
      <w:r w:rsidRPr="00A619B2">
        <w:rPr>
          <w:sz w:val="13"/>
          <w:szCs w:val="16"/>
        </w:rPr>
        <w:t xml:space="preserve"> </w:t>
      </w:r>
      <w:r w:rsidR="00721F87" w:rsidRPr="00721F87">
        <w:rPr>
          <w:rFonts w:ascii="Arial" w:hAnsi="Arial" w:cs="Arial"/>
          <w:sz w:val="13"/>
          <w:szCs w:val="16"/>
        </w:rPr>
        <w:t xml:space="preserve">Raw </w:t>
      </w:r>
      <w:r w:rsidRPr="00A619B2">
        <w:rPr>
          <w:rFonts w:ascii="Arial" w:hAnsi="Arial" w:cs="Arial"/>
          <w:sz w:val="13"/>
          <w:szCs w:val="16"/>
        </w:rPr>
        <w:t xml:space="preserve">ALK </w:t>
      </w:r>
      <w:r w:rsidR="00721F87">
        <w:rPr>
          <w:rFonts w:ascii="Arial" w:hAnsi="Arial" w:cs="Arial"/>
          <w:sz w:val="13"/>
          <w:szCs w:val="16"/>
        </w:rPr>
        <w:t xml:space="preserve">expression </w:t>
      </w:r>
      <w:r w:rsidRPr="00A619B2">
        <w:rPr>
          <w:rFonts w:ascii="Arial" w:hAnsi="Arial" w:cs="Arial"/>
          <w:sz w:val="13"/>
          <w:szCs w:val="16"/>
        </w:rPr>
        <w:t xml:space="preserve">data only available in RUO mode.  </w:t>
      </w:r>
    </w:p>
  </w:footnote>
  <w:footnote w:id="2">
    <w:p w14:paraId="10C9ACE0" w14:textId="77777777" w:rsidR="00E5139B" w:rsidRPr="009F130F" w:rsidRDefault="00E5139B">
      <w:pPr>
        <w:pStyle w:val="FootnoteText"/>
        <w:rPr>
          <w:rFonts w:ascii="Arial" w:hAnsi="Arial" w:cs="Arial"/>
          <w:sz w:val="13"/>
          <w:szCs w:val="13"/>
        </w:rPr>
      </w:pPr>
      <w:r w:rsidRPr="009F130F">
        <w:rPr>
          <w:rStyle w:val="FootnoteReference"/>
          <w:rFonts w:ascii="Arial" w:hAnsi="Arial" w:cs="Arial"/>
          <w:sz w:val="13"/>
          <w:szCs w:val="13"/>
        </w:rPr>
        <w:footnoteRef/>
      </w:r>
      <w:r w:rsidRPr="009F130F">
        <w:rPr>
          <w:rFonts w:ascii="Arial" w:hAnsi="Arial" w:cs="Arial"/>
          <w:sz w:val="13"/>
          <w:szCs w:val="13"/>
        </w:rPr>
        <w:t xml:space="preserve"> Illumina MiSeq</w:t>
      </w:r>
      <w:r w:rsidR="009F130F">
        <w:rPr>
          <w:rFonts w:ascii="Arial" w:hAnsi="Arial" w:cs="Arial"/>
          <w:sz w:val="13"/>
          <w:szCs w:val="13"/>
        </w:rPr>
        <w:t xml:space="preserve"> may</w:t>
      </w:r>
      <w:r w:rsidR="002E1462">
        <w:rPr>
          <w:rFonts w:ascii="Arial" w:hAnsi="Arial" w:cs="Arial"/>
          <w:sz w:val="13"/>
          <w:szCs w:val="13"/>
        </w:rPr>
        <w:t xml:space="preserve"> </w:t>
      </w:r>
      <w:r w:rsidR="009F130F">
        <w:rPr>
          <w:rFonts w:ascii="Arial" w:hAnsi="Arial" w:cs="Arial"/>
          <w:sz w:val="13"/>
          <w:szCs w:val="13"/>
        </w:rPr>
        <w:t>be used for CE-IVD version only.</w:t>
      </w:r>
      <w:r w:rsidRPr="009F130F">
        <w:rPr>
          <w:rFonts w:ascii="Arial" w:hAnsi="Arial" w:cs="Arial"/>
          <w:sz w:val="13"/>
          <w:szCs w:val="13"/>
        </w:rPr>
        <w:t xml:space="preserve"> </w:t>
      </w:r>
    </w:p>
  </w:footnote>
  <w:footnote w:id="3">
    <w:p w14:paraId="23F9C07A" w14:textId="77777777" w:rsidR="002C763F" w:rsidRDefault="002C763F" w:rsidP="00252EF2">
      <w:pPr>
        <w:pStyle w:val="FootnoteText"/>
        <w:rPr>
          <w:rFonts w:ascii="Arial" w:hAnsi="Arial" w:cs="Arial"/>
          <w:sz w:val="13"/>
          <w:szCs w:val="16"/>
        </w:rPr>
      </w:pPr>
    </w:p>
    <w:p w14:paraId="3F59DD84" w14:textId="77777777" w:rsidR="002C763F" w:rsidRDefault="002C763F" w:rsidP="00252EF2">
      <w:pPr>
        <w:pStyle w:val="FootnoteText"/>
        <w:rPr>
          <w:rFonts w:ascii="Arial" w:hAnsi="Arial" w:cs="Arial"/>
          <w:sz w:val="13"/>
          <w:szCs w:val="16"/>
        </w:rPr>
      </w:pPr>
    </w:p>
    <w:p w14:paraId="7593D895" w14:textId="77777777" w:rsidR="002C763F" w:rsidRDefault="002C763F" w:rsidP="00252EF2">
      <w:pPr>
        <w:pStyle w:val="FootnoteText"/>
        <w:rPr>
          <w:rFonts w:ascii="Arial" w:hAnsi="Arial" w:cs="Arial"/>
          <w:sz w:val="13"/>
          <w:szCs w:val="16"/>
        </w:rPr>
      </w:pPr>
    </w:p>
    <w:p w14:paraId="43E8BED8" w14:textId="77777777" w:rsidR="00252EF2" w:rsidRPr="003A1359" w:rsidRDefault="00252EF2" w:rsidP="00252EF2">
      <w:pPr>
        <w:pStyle w:val="FootnoteText"/>
        <w:rPr>
          <w:rFonts w:ascii="Arial" w:hAnsi="Arial" w:cs="Arial"/>
          <w:sz w:val="16"/>
          <w:szCs w:val="16"/>
        </w:rPr>
      </w:pPr>
      <w:r w:rsidRPr="00A619B2">
        <w:rPr>
          <w:rStyle w:val="FootnoteReference"/>
          <w:rFonts w:ascii="Arial" w:hAnsi="Arial" w:cs="Arial"/>
          <w:sz w:val="13"/>
          <w:szCs w:val="16"/>
        </w:rPr>
        <w:footnoteRef/>
      </w:r>
      <w:r w:rsidRPr="00A619B2">
        <w:rPr>
          <w:rFonts w:ascii="Arial" w:hAnsi="Arial" w:cs="Arial"/>
          <w:sz w:val="13"/>
          <w:szCs w:val="16"/>
        </w:rPr>
        <w:t xml:space="preserve"> The HTG EdgeSeq ALK</w:t>
      </w:r>
      <w:r w:rsidRPr="00A619B2">
        <w:rPr>
          <w:rFonts w:ascii="Arial" w:hAnsi="Arial" w:cs="Arial"/>
          <w:i/>
          <w:sz w:val="13"/>
          <w:szCs w:val="16"/>
        </w:rPr>
        <w:t>Plus</w:t>
      </w:r>
      <w:r w:rsidRPr="00A619B2">
        <w:rPr>
          <w:rFonts w:ascii="Arial" w:hAnsi="Arial" w:cs="Arial"/>
          <w:sz w:val="13"/>
          <w:szCs w:val="16"/>
        </w:rPr>
        <w:t xml:space="preserve"> Assay EU contains data on 147 probes </w:t>
      </w:r>
      <w:r w:rsidR="009F130F">
        <w:rPr>
          <w:rFonts w:ascii="Arial" w:hAnsi="Arial" w:cs="Arial"/>
          <w:sz w:val="13"/>
          <w:szCs w:val="16"/>
        </w:rPr>
        <w:t xml:space="preserve"> </w:t>
      </w:r>
      <w:r w:rsidR="009F130F">
        <w:rPr>
          <w:rFonts w:ascii="Arial" w:hAnsi="Arial" w:cs="Arial"/>
          <w:sz w:val="13"/>
          <w:szCs w:val="16"/>
        </w:rPr>
        <w:br/>
        <w:t xml:space="preserve">  </w:t>
      </w:r>
      <w:r w:rsidRPr="00A619B2">
        <w:rPr>
          <w:rFonts w:ascii="Arial" w:hAnsi="Arial" w:cs="Arial"/>
          <w:sz w:val="13"/>
          <w:szCs w:val="16"/>
        </w:rPr>
        <w:t>which are accessible through</w:t>
      </w:r>
      <w:r w:rsidR="00035F53">
        <w:rPr>
          <w:rFonts w:ascii="Arial" w:hAnsi="Arial" w:cs="Arial"/>
          <w:sz w:val="13"/>
          <w:szCs w:val="16"/>
        </w:rPr>
        <w:t xml:space="preserve"> the RUO login of the HTG Edge Host </w:t>
      </w:r>
      <w:r w:rsidR="002C763F">
        <w:rPr>
          <w:rFonts w:ascii="Arial" w:hAnsi="Arial" w:cs="Arial"/>
          <w:sz w:val="13"/>
          <w:szCs w:val="16"/>
        </w:rPr>
        <w:br/>
        <w:t xml:space="preserve">  </w:t>
      </w:r>
      <w:r w:rsidR="00035F53">
        <w:rPr>
          <w:rFonts w:ascii="Arial" w:hAnsi="Arial" w:cs="Arial"/>
          <w:sz w:val="13"/>
          <w:szCs w:val="16"/>
        </w:rPr>
        <w:t>S</w:t>
      </w:r>
      <w:r>
        <w:rPr>
          <w:rFonts w:ascii="Arial" w:hAnsi="Arial" w:cs="Arial"/>
          <w:sz w:val="13"/>
          <w:szCs w:val="16"/>
        </w:rPr>
        <w:t xml:space="preserve">oftware. Please refer </w:t>
      </w:r>
      <w:r w:rsidRPr="00A619B2">
        <w:rPr>
          <w:rFonts w:ascii="Arial" w:hAnsi="Arial" w:cs="Arial"/>
          <w:sz w:val="13"/>
          <w:szCs w:val="16"/>
        </w:rPr>
        <w:t>to the HTG EdgeSeq User</w:t>
      </w:r>
      <w:r w:rsidRPr="003A1359">
        <w:rPr>
          <w:rFonts w:ascii="Arial" w:hAnsi="Arial" w:cs="Arial"/>
          <w:sz w:val="16"/>
          <w:szCs w:val="16"/>
        </w:rPr>
        <w:t xml:space="preserve"> </w:t>
      </w:r>
      <w:r w:rsidRPr="00A619B2">
        <w:rPr>
          <w:rFonts w:ascii="Arial" w:hAnsi="Arial" w:cs="Arial"/>
          <w:sz w:val="13"/>
          <w:szCs w:val="16"/>
        </w:rPr>
        <w:t xml:space="preserve">Manual (CE-IVD) P/N </w:t>
      </w:r>
      <w:r w:rsidR="002C763F">
        <w:rPr>
          <w:rFonts w:ascii="Arial" w:hAnsi="Arial" w:cs="Arial"/>
          <w:sz w:val="13"/>
          <w:szCs w:val="16"/>
        </w:rPr>
        <w:br/>
        <w:t xml:space="preserve">  </w:t>
      </w:r>
      <w:r w:rsidRPr="00A619B2">
        <w:rPr>
          <w:rFonts w:ascii="Arial" w:hAnsi="Arial" w:cs="Arial"/>
          <w:sz w:val="13"/>
          <w:szCs w:val="16"/>
        </w:rPr>
        <w:t>10309300 version B for the instruction to obtain these data.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DEFA" w14:textId="77777777" w:rsidR="008F75A1" w:rsidRDefault="00574054">
    <w:pPr>
      <w:pStyle w:val="Header"/>
      <w:rPr>
        <w:rFonts w:ascii="Arial" w:hAnsi="Arial" w:cs="Arial"/>
      </w:rPr>
    </w:pPr>
    <w:r w:rsidRPr="00E9375F">
      <w:rPr>
        <w:rFonts w:ascii="Arial" w:hAnsi="Arial" w:cs="Arial"/>
        <w:noProof/>
      </w:rPr>
      <w:drawing>
        <wp:anchor distT="0" distB="0" distL="114300" distR="114300" simplePos="0" relativeHeight="251659264" behindDoc="0" locked="0" layoutInCell="1" allowOverlap="1" wp14:anchorId="49BE0A18" wp14:editId="1A9616CF">
          <wp:simplePos x="0" y="0"/>
          <wp:positionH relativeFrom="page">
            <wp:posOffset>5194935</wp:posOffset>
          </wp:positionH>
          <wp:positionV relativeFrom="paragraph">
            <wp:posOffset>-226073</wp:posOffset>
          </wp:positionV>
          <wp:extent cx="2103120" cy="475488"/>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008F75A1">
      <w:rPr>
        <w:rFonts w:ascii="Arial" w:hAnsi="Arial" w:cs="Arial"/>
      </w:rPr>
      <w:t>White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F2"/>
    <w:rsid w:val="00035F53"/>
    <w:rsid w:val="000563B1"/>
    <w:rsid w:val="000A5B63"/>
    <w:rsid w:val="000C6B61"/>
    <w:rsid w:val="00130F07"/>
    <w:rsid w:val="001324FC"/>
    <w:rsid w:val="001C694C"/>
    <w:rsid w:val="00215162"/>
    <w:rsid w:val="00252EF2"/>
    <w:rsid w:val="002C763F"/>
    <w:rsid w:val="002E1462"/>
    <w:rsid w:val="003146B2"/>
    <w:rsid w:val="00326019"/>
    <w:rsid w:val="00484B5E"/>
    <w:rsid w:val="004C5707"/>
    <w:rsid w:val="00534F75"/>
    <w:rsid w:val="005666BF"/>
    <w:rsid w:val="00570C97"/>
    <w:rsid w:val="00574054"/>
    <w:rsid w:val="006318A8"/>
    <w:rsid w:val="006817C7"/>
    <w:rsid w:val="00721F87"/>
    <w:rsid w:val="007240DD"/>
    <w:rsid w:val="007662F7"/>
    <w:rsid w:val="007E312A"/>
    <w:rsid w:val="00885340"/>
    <w:rsid w:val="0088568D"/>
    <w:rsid w:val="008F3DDA"/>
    <w:rsid w:val="008F75A1"/>
    <w:rsid w:val="00921C94"/>
    <w:rsid w:val="009F130F"/>
    <w:rsid w:val="00A653F6"/>
    <w:rsid w:val="00A7529A"/>
    <w:rsid w:val="00A92391"/>
    <w:rsid w:val="00B36007"/>
    <w:rsid w:val="00BC46BB"/>
    <w:rsid w:val="00BF6031"/>
    <w:rsid w:val="00C36426"/>
    <w:rsid w:val="00C41BC7"/>
    <w:rsid w:val="00C861E9"/>
    <w:rsid w:val="00D22E87"/>
    <w:rsid w:val="00D270DA"/>
    <w:rsid w:val="00D45034"/>
    <w:rsid w:val="00DC738A"/>
    <w:rsid w:val="00E16A70"/>
    <w:rsid w:val="00E5139B"/>
    <w:rsid w:val="00EA2360"/>
    <w:rsid w:val="00EF3F46"/>
    <w:rsid w:val="00F474F8"/>
    <w:rsid w:val="00FA36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A6A8"/>
  <w15:chartTrackingRefBased/>
  <w15:docId w15:val="{9AE02497-418C-469A-8587-D97E1CCC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2EF2"/>
    <w:pPr>
      <w:widowControl w:val="0"/>
    </w:pPr>
    <w:rPr>
      <w:sz w:val="20"/>
      <w:szCs w:val="20"/>
    </w:rPr>
  </w:style>
  <w:style w:type="character" w:customStyle="1" w:styleId="FootnoteTextChar">
    <w:name w:val="Footnote Text Char"/>
    <w:basedOn w:val="DefaultParagraphFont"/>
    <w:link w:val="FootnoteText"/>
    <w:uiPriority w:val="99"/>
    <w:rsid w:val="00252EF2"/>
    <w:rPr>
      <w:sz w:val="20"/>
      <w:szCs w:val="20"/>
    </w:rPr>
  </w:style>
  <w:style w:type="character" w:styleId="FootnoteReference">
    <w:name w:val="footnote reference"/>
    <w:basedOn w:val="DefaultParagraphFont"/>
    <w:uiPriority w:val="99"/>
    <w:unhideWhenUsed/>
    <w:rsid w:val="00252EF2"/>
    <w:rPr>
      <w:vertAlign w:val="superscript"/>
    </w:rPr>
  </w:style>
  <w:style w:type="paragraph" w:styleId="BodyText">
    <w:name w:val="Body Text"/>
    <w:basedOn w:val="Normal"/>
    <w:link w:val="BodyTextChar"/>
    <w:uiPriority w:val="1"/>
    <w:qFormat/>
    <w:rsid w:val="00252EF2"/>
    <w:pPr>
      <w:widowControl w:val="0"/>
      <w:spacing w:before="1"/>
      <w:ind w:left="184"/>
    </w:pPr>
    <w:rPr>
      <w:rFonts w:ascii="Trebuchet MS" w:eastAsia="Trebuchet MS" w:hAnsi="Trebuchet MS"/>
      <w:sz w:val="22"/>
      <w:szCs w:val="22"/>
    </w:rPr>
  </w:style>
  <w:style w:type="character" w:customStyle="1" w:styleId="BodyTextChar">
    <w:name w:val="Body Text Char"/>
    <w:basedOn w:val="DefaultParagraphFont"/>
    <w:link w:val="BodyText"/>
    <w:uiPriority w:val="1"/>
    <w:rsid w:val="00252EF2"/>
    <w:rPr>
      <w:rFonts w:ascii="Trebuchet MS" w:eastAsia="Trebuchet MS" w:hAnsi="Trebuchet MS"/>
      <w:sz w:val="22"/>
      <w:szCs w:val="22"/>
    </w:rPr>
  </w:style>
  <w:style w:type="paragraph" w:styleId="Header">
    <w:name w:val="header"/>
    <w:basedOn w:val="Normal"/>
    <w:link w:val="HeaderChar"/>
    <w:uiPriority w:val="99"/>
    <w:unhideWhenUsed/>
    <w:rsid w:val="00252EF2"/>
    <w:pPr>
      <w:tabs>
        <w:tab w:val="center" w:pos="4680"/>
        <w:tab w:val="right" w:pos="9360"/>
      </w:tabs>
    </w:pPr>
  </w:style>
  <w:style w:type="character" w:customStyle="1" w:styleId="HeaderChar">
    <w:name w:val="Header Char"/>
    <w:basedOn w:val="DefaultParagraphFont"/>
    <w:link w:val="Header"/>
    <w:uiPriority w:val="99"/>
    <w:rsid w:val="00252EF2"/>
  </w:style>
  <w:style w:type="paragraph" w:styleId="Footer">
    <w:name w:val="footer"/>
    <w:basedOn w:val="Normal"/>
    <w:link w:val="FooterChar"/>
    <w:uiPriority w:val="99"/>
    <w:unhideWhenUsed/>
    <w:rsid w:val="00252EF2"/>
    <w:pPr>
      <w:tabs>
        <w:tab w:val="center" w:pos="4680"/>
        <w:tab w:val="right" w:pos="9360"/>
      </w:tabs>
    </w:pPr>
  </w:style>
  <w:style w:type="character" w:customStyle="1" w:styleId="FooterChar">
    <w:name w:val="Footer Char"/>
    <w:basedOn w:val="DefaultParagraphFont"/>
    <w:link w:val="Footer"/>
    <w:uiPriority w:val="99"/>
    <w:rsid w:val="00252EF2"/>
  </w:style>
  <w:style w:type="table" w:styleId="TableGrid">
    <w:name w:val="Table Grid"/>
    <w:basedOn w:val="TableNormal"/>
    <w:uiPriority w:val="39"/>
    <w:rsid w:val="00252EF2"/>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18A8"/>
    <w:rPr>
      <w:color w:val="0563C1" w:themeColor="hyperlink"/>
      <w:u w:val="single"/>
    </w:rPr>
  </w:style>
  <w:style w:type="character" w:styleId="PageNumber">
    <w:name w:val="page number"/>
    <w:basedOn w:val="DefaultParagraphFont"/>
    <w:uiPriority w:val="99"/>
    <w:semiHidden/>
    <w:unhideWhenUsed/>
    <w:rsid w:val="008F3DDA"/>
  </w:style>
  <w:style w:type="paragraph" w:styleId="BalloonText">
    <w:name w:val="Balloon Text"/>
    <w:basedOn w:val="Normal"/>
    <w:link w:val="BalloonTextChar"/>
    <w:uiPriority w:val="99"/>
    <w:semiHidden/>
    <w:unhideWhenUsed/>
    <w:rsid w:val="00A65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3F6"/>
    <w:rPr>
      <w:rFonts w:ascii="Segoe UI" w:hAnsi="Segoe UI" w:cs="Segoe UI"/>
      <w:sz w:val="18"/>
      <w:szCs w:val="18"/>
    </w:rPr>
  </w:style>
  <w:style w:type="character" w:styleId="CommentReference">
    <w:name w:val="annotation reference"/>
    <w:basedOn w:val="DefaultParagraphFont"/>
    <w:uiPriority w:val="99"/>
    <w:semiHidden/>
    <w:unhideWhenUsed/>
    <w:rsid w:val="007E312A"/>
    <w:rPr>
      <w:sz w:val="16"/>
      <w:szCs w:val="16"/>
    </w:rPr>
  </w:style>
  <w:style w:type="paragraph" w:styleId="CommentText">
    <w:name w:val="annotation text"/>
    <w:basedOn w:val="Normal"/>
    <w:link w:val="CommentTextChar"/>
    <w:uiPriority w:val="99"/>
    <w:semiHidden/>
    <w:unhideWhenUsed/>
    <w:rsid w:val="007E312A"/>
    <w:rPr>
      <w:sz w:val="20"/>
      <w:szCs w:val="20"/>
    </w:rPr>
  </w:style>
  <w:style w:type="character" w:customStyle="1" w:styleId="CommentTextChar">
    <w:name w:val="Comment Text Char"/>
    <w:basedOn w:val="DefaultParagraphFont"/>
    <w:link w:val="CommentText"/>
    <w:uiPriority w:val="99"/>
    <w:semiHidden/>
    <w:rsid w:val="007E312A"/>
    <w:rPr>
      <w:sz w:val="20"/>
      <w:szCs w:val="20"/>
    </w:rPr>
  </w:style>
  <w:style w:type="paragraph" w:styleId="CommentSubject">
    <w:name w:val="annotation subject"/>
    <w:basedOn w:val="CommentText"/>
    <w:next w:val="CommentText"/>
    <w:link w:val="CommentSubjectChar"/>
    <w:uiPriority w:val="99"/>
    <w:semiHidden/>
    <w:unhideWhenUsed/>
    <w:rsid w:val="007E312A"/>
    <w:rPr>
      <w:b/>
      <w:bCs/>
    </w:rPr>
  </w:style>
  <w:style w:type="character" w:customStyle="1" w:styleId="CommentSubjectChar">
    <w:name w:val="Comment Subject Char"/>
    <w:basedOn w:val="CommentTextChar"/>
    <w:link w:val="CommentSubject"/>
    <w:uiPriority w:val="99"/>
    <w:semiHidden/>
    <w:rsid w:val="007E3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emf"/><Relationship Id="rId12" Type="http://schemas.openxmlformats.org/officeDocument/2006/relationships/image" Target="media/image4.jpeg"/><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hyperlink" Target="mailto:info@htgmolecular.com" TargetMode="External"/><Relationship Id="rId18" Type="http://schemas.openxmlformats.org/officeDocument/2006/relationships/hyperlink" Target="http://www.htgmolecular.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htgmolecul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F337FA-B1D2-B248-A4A6-5CC5D36E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Chesser</dc:creator>
  <cp:keywords/>
  <dc:description/>
  <cp:lastModifiedBy>Rachael Chesser</cp:lastModifiedBy>
  <cp:revision>2</cp:revision>
  <dcterms:created xsi:type="dcterms:W3CDTF">2017-06-07T16:31:00Z</dcterms:created>
  <dcterms:modified xsi:type="dcterms:W3CDTF">2017-06-07T16:31:00Z</dcterms:modified>
</cp:coreProperties>
</file>